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000000" w:themeColor="text1"/>
          <w:sz w:val="32"/>
          <w:szCs w:val="32"/>
          <w14:textFill>
            <w14:solidFill>
              <w14:schemeClr w14:val="tx1"/>
            </w14:solidFill>
          </w14:textFill>
        </w:rPr>
      </w:pPr>
      <w:bookmarkStart w:id="2" w:name="_GoBack"/>
      <w:bookmarkEnd w:id="2"/>
      <w:r>
        <w:rPr>
          <w:rFonts w:hint="eastAsia" w:ascii="黑体" w:hAnsi="黑体" w:eastAsia="黑体" w:cs="黑体"/>
          <w:color w:val="000000" w:themeColor="text1"/>
          <w:sz w:val="32"/>
          <w:szCs w:val="32"/>
          <w14:textFill>
            <w14:solidFill>
              <w14:schemeClr w14:val="tx1"/>
            </w14:solidFill>
          </w14:textFill>
        </w:rPr>
        <w:t>附件</w:t>
      </w:r>
    </w:p>
    <w:p>
      <w:pPr>
        <w:pStyle w:val="2"/>
        <w:rPr>
          <w:rFonts w:hint="default"/>
        </w:rPr>
      </w:pPr>
    </w:p>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深圳市商务局202</w:t>
      </w:r>
      <w:r>
        <w:rPr>
          <w:rFonts w:ascii="方正小标宋简体" w:eastAsia="方正小标宋简体"/>
          <w:color w:val="000000" w:themeColor="text1"/>
          <w:sz w:val="44"/>
          <w:szCs w:val="44"/>
          <w14:textFill>
            <w14:solidFill>
              <w14:schemeClr w14:val="tx1"/>
            </w14:solidFill>
          </w14:textFill>
        </w:rPr>
        <w:t>2</w:t>
      </w:r>
      <w:r>
        <w:rPr>
          <w:rFonts w:hint="eastAsia" w:ascii="方正小标宋简体" w:eastAsia="方正小标宋简体"/>
          <w:color w:val="000000" w:themeColor="text1"/>
          <w:sz w:val="44"/>
          <w:szCs w:val="44"/>
          <w14:textFill>
            <w14:solidFill>
              <w14:schemeClr w14:val="tx1"/>
            </w14:solidFill>
          </w14:textFill>
        </w:rPr>
        <w:t>年度中央资金（</w:t>
      </w:r>
      <w:r>
        <w:rPr>
          <w:rFonts w:ascii="方正小标宋简体" w:eastAsia="方正小标宋简体"/>
          <w:color w:val="000000" w:themeColor="text1"/>
          <w:sz w:val="44"/>
          <w:szCs w:val="44"/>
          <w14:textFill>
            <w14:solidFill>
              <w14:schemeClr w14:val="tx1"/>
            </w14:solidFill>
          </w14:textFill>
        </w:rPr>
        <w:t>促进外贸转型升级</w:t>
      </w:r>
      <w:r>
        <w:rPr>
          <w:rFonts w:hint="eastAsia" w:ascii="方正小标宋简体" w:eastAsia="方正小标宋简体"/>
          <w:color w:val="000000" w:themeColor="text1"/>
          <w:sz w:val="44"/>
          <w:szCs w:val="44"/>
          <w14:textFill>
            <w14:solidFill>
              <w14:schemeClr w14:val="tx1"/>
            </w14:solidFill>
          </w14:textFill>
        </w:rPr>
        <w:t>事项）申报指南</w:t>
      </w:r>
    </w:p>
    <w:p>
      <w:pPr>
        <w:spacing w:line="560" w:lineRule="exact"/>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一、支持领域</w:t>
      </w:r>
    </w:p>
    <w:p>
      <w:pPr>
        <w:widowControl/>
        <w:shd w:val="clear" w:color="auto" w:fill="FFFFFF"/>
        <w:tabs>
          <w:tab w:val="left" w:pos="1159"/>
        </w:tabs>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推动外贸转型升级基地高质量发展。支持为我市国家外贸转型升级基地（以下简称“基地”，具体名单见附件）提供配套公共服务的相关企事业单位、社会组织，积极承担</w:t>
      </w:r>
      <w:bookmarkStart w:id="0" w:name="_Hlk108295467"/>
      <w:r>
        <w:rPr>
          <w:rFonts w:hint="eastAsia" w:ascii="仿宋_GB2312" w:hAnsi="仿宋_GB2312" w:eastAsia="仿宋_GB2312"/>
          <w:sz w:val="32"/>
          <w:szCs w:val="32"/>
        </w:rPr>
        <w:t>基地工作站</w:t>
      </w:r>
      <w:bookmarkEnd w:id="0"/>
      <w:r>
        <w:rPr>
          <w:rFonts w:hint="eastAsia" w:ascii="仿宋_GB2312" w:hAnsi="仿宋_GB2312" w:eastAsia="仿宋_GB2312"/>
          <w:sz w:val="32"/>
          <w:szCs w:val="32"/>
        </w:rPr>
        <w:t>工作，完善基地服务体系，组织基地企业调研、公益性培训或外贸新业态辅导，举办对外交流对接和基地整体宣传推广活动，</w:t>
      </w:r>
      <w:r>
        <w:rPr>
          <w:rFonts w:ascii="仿宋_GB2312" w:hAnsi="仿宋_GB2312" w:eastAsia="仿宋_GB2312"/>
          <w:sz w:val="32"/>
          <w:szCs w:val="32"/>
        </w:rPr>
        <w:t>帮助企业开拓国际市场。</w:t>
      </w:r>
    </w:p>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二、设定依据</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根据相关文件设定</w:t>
      </w:r>
      <w:r>
        <w:rPr>
          <w:rFonts w:ascii="仿宋_GB2312" w:eastAsia="仿宋_GB2312"/>
          <w:color w:val="000000" w:themeColor="text1"/>
          <w:sz w:val="32"/>
          <w:szCs w:val="32"/>
          <w14:textFill>
            <w14:solidFill>
              <w14:schemeClr w14:val="tx1"/>
            </w14:solidFill>
          </w14:textFill>
        </w:rPr>
        <w:t>。</w:t>
      </w:r>
    </w:p>
    <w:p>
      <w:pPr>
        <w:spacing w:line="560" w:lineRule="exact"/>
        <w:ind w:firstLine="63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三、支持数量和支持方式</w:t>
      </w:r>
    </w:p>
    <w:p>
      <w:pPr>
        <w:widowControl/>
        <w:shd w:val="clear" w:color="auto" w:fill="FFFFFF"/>
        <w:spacing w:line="560" w:lineRule="exact"/>
        <w:ind w:firstLine="645"/>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（一）支持数量</w:t>
      </w:r>
    </w:p>
    <w:p>
      <w:pPr>
        <w:widowControl/>
        <w:shd w:val="clear" w:color="auto" w:fill="FFFFFF"/>
        <w:spacing w:line="560" w:lineRule="exact"/>
        <w:ind w:firstLine="645"/>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有预算</w:t>
      </w:r>
      <w:r>
        <w:rPr>
          <w:rFonts w:hint="eastAsia" w:ascii="仿宋_GB2312" w:hAnsi="仿宋_GB2312" w:eastAsia="仿宋_GB2312" w:cs="仿宋_GB2312"/>
          <w:kern w:val="0"/>
          <w:sz w:val="32"/>
          <w:szCs w:val="32"/>
        </w:rPr>
        <w:t>数量限制，受</w:t>
      </w:r>
      <w:r>
        <w:rPr>
          <w:rFonts w:hint="eastAsia" w:ascii="仿宋_GB2312" w:hAnsi="仿宋_GB2312" w:eastAsia="仿宋_GB2312" w:cs="仿宋_GB2312"/>
          <w:sz w:val="32"/>
          <w:szCs w:val="32"/>
        </w:rPr>
        <w:t>财政部、商务部下达年度资金预算控制。资</w:t>
      </w:r>
      <w:r>
        <w:rPr>
          <w:rFonts w:hint="eastAsia" w:ascii="仿宋_GB2312" w:hAnsi="仿宋_GB2312" w:eastAsia="仿宋_GB2312" w:cs="仿宋_GB2312"/>
          <w:color w:val="000000" w:themeColor="text1"/>
          <w:sz w:val="32"/>
          <w:szCs w:val="32"/>
          <w14:textFill>
            <w14:solidFill>
              <w14:schemeClr w14:val="tx1"/>
            </w14:solidFill>
          </w14:textFill>
        </w:rPr>
        <w:t>助金额以万元为单位按舍尾法取整，且原则上不得大于实际发生/投入金额。</w:t>
      </w:r>
      <w:r>
        <w:rPr>
          <w:rFonts w:hint="eastAsia" w:ascii="仿宋_GB2312" w:hAnsi="仿宋_GB2312" w:eastAsia="仿宋_GB2312" w:cs="宋体"/>
          <w:color w:val="000000" w:themeColor="text1"/>
          <w:kern w:val="0"/>
          <w:sz w:val="32"/>
          <w:szCs w:val="32"/>
          <w14:textFill>
            <w14:solidFill>
              <w14:schemeClr w14:val="tx1"/>
            </w14:solidFill>
          </w14:textFill>
        </w:rPr>
        <w:t>市商</w:t>
      </w:r>
      <w:r>
        <w:rPr>
          <w:rFonts w:hint="eastAsia" w:ascii="仿宋_GB2312" w:hAnsi="仿宋_GB2312" w:eastAsia="仿宋_GB2312" w:cs="宋体"/>
          <w:kern w:val="0"/>
          <w:sz w:val="32"/>
          <w:szCs w:val="32"/>
        </w:rPr>
        <w:t>务局视申报情况和预算安排，据以对资助金额、支持比例和拨付进度等进行统一调整，申报单位应无条件同意调整结果。</w:t>
      </w:r>
    </w:p>
    <w:p>
      <w:pPr>
        <w:widowControl/>
        <w:numPr>
          <w:ilvl w:val="0"/>
          <w:numId w:val="1"/>
        </w:numPr>
        <w:shd w:val="clear" w:color="auto" w:fill="FFFFFF"/>
        <w:spacing w:line="560" w:lineRule="exact"/>
        <w:ind w:firstLine="645"/>
        <w:jc w:val="left"/>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支持方式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事后奖励</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560" w:lineRule="exact"/>
        <w:ind w:firstLine="640"/>
        <w:rPr>
          <w:rFonts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四、申报条件</w:t>
      </w:r>
    </w:p>
    <w:p>
      <w:pPr>
        <w:widowControl/>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（一）基本条件</w:t>
      </w:r>
    </w:p>
    <w:p>
      <w:pPr>
        <w:widowControl/>
        <w:shd w:val="clear" w:color="auto" w:fill="FFFFFF"/>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1.申报单位为在深圳市行政区域内依法登记注册，具有独立法人资格的</w:t>
      </w:r>
      <w:r>
        <w:rPr>
          <w:rFonts w:ascii="仿宋_GB2312" w:hAnsi="仿宋_GB2312" w:eastAsia="仿宋_GB2312"/>
          <w:sz w:val="32"/>
          <w:szCs w:val="32"/>
        </w:rPr>
        <w:t>企</w:t>
      </w:r>
      <w:r>
        <w:rPr>
          <w:rFonts w:hint="eastAsia" w:ascii="仿宋_GB2312" w:hAnsi="仿宋_GB2312" w:eastAsia="仿宋_GB2312"/>
          <w:sz w:val="32"/>
          <w:szCs w:val="32"/>
        </w:rPr>
        <w:t>事业单位、社会组织</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仿宋_GB2312" w:eastAsia="仿宋_GB2312"/>
          <w:sz w:val="32"/>
          <w:szCs w:val="32"/>
        </w:rPr>
        <w:t>申报单位未被国家、省、市有关部门列入严重失信主体名单实施失信惩戒，明确限制申请财政性资金项目，且在限制期内</w:t>
      </w:r>
      <w:r>
        <w:rPr>
          <w:rFonts w:ascii="仿宋_GB2312" w:hAnsi="仿宋_GB2312" w:eastAsia="仿宋_GB2312"/>
          <w:sz w:val="32"/>
          <w:szCs w:val="32"/>
        </w:rPr>
        <w:t>。</w:t>
      </w:r>
    </w:p>
    <w:p>
      <w:pPr>
        <w:widowControl/>
        <w:shd w:val="clear" w:color="auto" w:fill="FFFFFF"/>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3.申报单位近</w:t>
      </w:r>
      <w:r>
        <w:rPr>
          <w:rFonts w:ascii="仿宋_GB2312" w:eastAsia="仿宋_GB2312"/>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年</w:t>
      </w:r>
      <w:r>
        <w:rPr>
          <w:rFonts w:ascii="仿宋_GB2312" w:eastAsia="仿宋_GB2312"/>
          <w:color w:val="000000" w:themeColor="text1"/>
          <w:sz w:val="32"/>
          <w:szCs w:val="32"/>
          <w14:textFill>
            <w14:solidFill>
              <w14:schemeClr w14:val="tx1"/>
            </w14:solidFill>
          </w14:textFill>
        </w:rPr>
        <w:t>不存在</w:t>
      </w:r>
      <w:r>
        <w:rPr>
          <w:rFonts w:hint="eastAsia" w:ascii="仿宋_GB2312" w:eastAsia="仿宋_GB2312"/>
          <w:color w:val="000000" w:themeColor="text1"/>
          <w:sz w:val="32"/>
          <w:szCs w:val="32"/>
          <w14:textFill>
            <w14:solidFill>
              <w14:schemeClr w14:val="tx1"/>
            </w14:solidFill>
          </w14:textFill>
        </w:rPr>
        <w:t>严重违法违规行为，未拖欠应缴还的财政性资金</w:t>
      </w:r>
      <w:r>
        <w:rPr>
          <w:rFonts w:ascii="仿宋_GB2312" w:eastAsia="仿宋_GB2312"/>
          <w:color w:val="000000" w:themeColor="text1"/>
          <w:sz w:val="32"/>
          <w:szCs w:val="32"/>
          <w14:textFill>
            <w14:solidFill>
              <w14:schemeClr w14:val="tx1"/>
            </w14:solidFill>
          </w14:textFill>
        </w:rPr>
        <w:t>。</w:t>
      </w:r>
    </w:p>
    <w:p>
      <w:pPr>
        <w:widowControl/>
        <w:shd w:val="clear" w:color="auto" w:fill="FFFFFF"/>
        <w:spacing w:line="560" w:lineRule="exact"/>
        <w:ind w:firstLine="640" w:firstLineChars="200"/>
        <w:rPr>
          <w:rFonts w:ascii="仿宋_GB2312" w:hAnsi="仿宋_GB2312" w:eastAsia="仿宋_GB2312"/>
          <w:sz w:val="32"/>
          <w:szCs w:val="32"/>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.申报单位应承担资金真实申报、合规使用和有效管理；应对申报材料的真实性、合法性、</w:t>
      </w:r>
      <w:r>
        <w:rPr>
          <w:rFonts w:ascii="仿宋_GB2312" w:hAnsi="仿宋_GB2312" w:eastAsia="仿宋_GB2312" w:cs="仿宋_GB2312"/>
          <w:color w:val="000000" w:themeColor="text1"/>
          <w:sz w:val="32"/>
          <w:szCs w:val="32"/>
          <w14:textFill>
            <w14:solidFill>
              <w14:schemeClr w14:val="tx1"/>
            </w14:solidFill>
          </w14:textFill>
        </w:rPr>
        <w:t>准确性、</w:t>
      </w:r>
      <w:r>
        <w:rPr>
          <w:rFonts w:hint="eastAsia" w:ascii="仿宋_GB2312" w:hAnsi="仿宋_GB2312" w:eastAsia="仿宋_GB2312" w:cs="仿宋_GB2312"/>
          <w:color w:val="000000" w:themeColor="text1"/>
          <w:sz w:val="32"/>
          <w:szCs w:val="32"/>
          <w14:textFill>
            <w14:solidFill>
              <w14:schemeClr w14:val="tx1"/>
            </w14:solidFill>
          </w14:textFill>
        </w:rPr>
        <w:t>完整性负责，应如实提供本单位信用状况，承担违约责任并作出承诺，不得弄虚作假、套取、骗取财政资金。</w:t>
      </w:r>
    </w:p>
    <w:p>
      <w:pPr>
        <w:shd w:val="clear" w:color="auto" w:fill="FFFFFF"/>
        <w:tabs>
          <w:tab w:val="left" w:pos="1159"/>
        </w:tabs>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.申报项目</w:t>
      </w:r>
      <w:r>
        <w:rPr>
          <w:rFonts w:ascii="仿宋_GB2312" w:eastAsia="仿宋_GB2312"/>
          <w:color w:val="000000" w:themeColor="text1"/>
          <w:sz w:val="32"/>
          <w:szCs w:val="32"/>
          <w14:textFill>
            <w14:solidFill>
              <w14:schemeClr w14:val="tx1"/>
            </w14:solidFill>
          </w14:textFill>
        </w:rPr>
        <w:t>未以</w:t>
      </w:r>
      <w:r>
        <w:rPr>
          <w:rFonts w:hint="eastAsia" w:ascii="仿宋_GB2312" w:eastAsia="仿宋_GB2312"/>
          <w:color w:val="000000" w:themeColor="text1"/>
          <w:sz w:val="32"/>
          <w:szCs w:val="32"/>
          <w14:textFill>
            <w14:solidFill>
              <w14:schemeClr w14:val="tx1"/>
            </w14:solidFill>
          </w14:textFill>
        </w:rPr>
        <w:t>同一事项</w:t>
      </w:r>
      <w:r>
        <w:rPr>
          <w:rFonts w:ascii="仿宋_GB2312" w:eastAsia="仿宋_GB2312"/>
          <w:color w:val="000000" w:themeColor="text1"/>
          <w:sz w:val="32"/>
          <w:szCs w:val="32"/>
          <w14:textFill>
            <w14:solidFill>
              <w14:schemeClr w14:val="tx1"/>
            </w14:solidFill>
          </w14:textFill>
        </w:rPr>
        <w:t>从其他部门获得中央财政资金支持。</w:t>
      </w:r>
    </w:p>
    <w:p>
      <w:pPr>
        <w:shd w:val="clear" w:color="auto" w:fill="FFFFFF"/>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w:t>
      </w:r>
      <w:r>
        <w:rPr>
          <w:rFonts w:ascii="楷体_GB2312" w:hAnsi="楷体_GB2312" w:eastAsia="楷体_GB2312" w:cs="楷体_GB2312"/>
          <w:color w:val="000000" w:themeColor="text1"/>
          <w:sz w:val="32"/>
          <w:szCs w:val="32"/>
          <w14:textFill>
            <w14:solidFill>
              <w14:schemeClr w14:val="tx1"/>
            </w14:solidFill>
          </w14:textFill>
        </w:rPr>
        <w:t>专项条件</w:t>
      </w:r>
    </w:p>
    <w:p>
      <w:pPr>
        <w:shd w:val="clear" w:color="auto" w:fill="FFFFFF"/>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1.申报单位为已被各区商务主管部门确认，并在市商务主管部门备案的基地工作站。</w:t>
      </w:r>
    </w:p>
    <w:p>
      <w:pPr>
        <w:shd w:val="clear" w:color="auto" w:fill="FFFFFF"/>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rPr>
        <w:t>申报单位按有关规定通过商务部、广东省</w:t>
      </w:r>
      <w:r>
        <w:rPr>
          <w:rFonts w:ascii="仿宋_GB2312" w:hAnsi="仿宋_GB2312" w:eastAsia="仿宋_GB2312"/>
          <w:sz w:val="32"/>
          <w:szCs w:val="32"/>
        </w:rPr>
        <w:t>外贸转型升级基地管理</w:t>
      </w:r>
      <w:r>
        <w:rPr>
          <w:rFonts w:hint="eastAsia" w:ascii="仿宋_GB2312" w:hAnsi="仿宋_GB2312" w:eastAsia="仿宋_GB2312"/>
          <w:sz w:val="32"/>
          <w:szCs w:val="32"/>
        </w:rPr>
        <w:t>系统报送统计资料。</w:t>
      </w:r>
    </w:p>
    <w:p>
      <w:pPr>
        <w:pStyle w:val="3"/>
        <w:spacing w:line="560" w:lineRule="exact"/>
        <w:ind w:firstLine="640" w:firstLineChars="200"/>
        <w:rPr>
          <w:rFonts w:ascii="仿宋_GB2312" w:hAnsi="仿宋_GB2312" w:eastAsia="仿宋_GB2312" w:cs="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.申请奖励的项目应当在202</w:t>
      </w:r>
      <w:r>
        <w:rPr>
          <w:rFonts w:ascii="仿宋_GB2312" w:hAnsi="仿宋_GB2312" w:eastAsia="仿宋_GB2312"/>
          <w:sz w:val="32"/>
          <w:szCs w:val="32"/>
        </w:rPr>
        <w:t>1</w:t>
      </w:r>
      <w:r>
        <w:rPr>
          <w:rFonts w:hint="eastAsia" w:ascii="仿宋_GB2312" w:hAnsi="仿宋_GB2312" w:eastAsia="仿宋_GB2312"/>
          <w:sz w:val="32"/>
          <w:szCs w:val="32"/>
        </w:rPr>
        <w:t>年7月1日至202</w:t>
      </w:r>
      <w:r>
        <w:rPr>
          <w:rFonts w:ascii="仿宋_GB2312" w:hAnsi="仿宋_GB2312" w:eastAsia="仿宋_GB2312"/>
          <w:sz w:val="32"/>
          <w:szCs w:val="32"/>
        </w:rPr>
        <w:t>2</w:t>
      </w:r>
      <w:r>
        <w:rPr>
          <w:rFonts w:hint="eastAsia" w:ascii="仿宋_GB2312" w:hAnsi="仿宋_GB2312" w:eastAsia="仿宋_GB2312"/>
          <w:sz w:val="32"/>
          <w:szCs w:val="32"/>
        </w:rPr>
        <w:t>年6月30日期间完成。</w:t>
      </w:r>
    </w:p>
    <w:p>
      <w:pPr>
        <w:tabs>
          <w:tab w:val="center" w:pos="4153"/>
        </w:tabs>
        <w:spacing w:line="560" w:lineRule="exact"/>
        <w:ind w:firstLine="63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五、支持内容和支持标准</w:t>
      </w:r>
      <w:r>
        <w:rPr>
          <w:rFonts w:hint="eastAsia" w:ascii="黑体" w:hAnsi="黑体" w:eastAsia="黑体" w:cs="黑体"/>
          <w:bCs/>
          <w:color w:val="000000" w:themeColor="text1"/>
          <w:sz w:val="32"/>
          <w:szCs w:val="32"/>
          <w14:textFill>
            <w14:solidFill>
              <w14:schemeClr w14:val="tx1"/>
            </w14:solidFill>
          </w14:textFill>
        </w:rPr>
        <w:tab/>
      </w:r>
    </w:p>
    <w:p>
      <w:pPr>
        <w:tabs>
          <w:tab w:val="center" w:pos="4153"/>
        </w:tabs>
        <w:spacing w:line="560" w:lineRule="exact"/>
        <w:ind w:firstLine="63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（一）支持内容</w:t>
      </w:r>
    </w:p>
    <w:p>
      <w:pPr>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1.加强基地管理，开展基地相关数据统计</w:t>
      </w:r>
      <w:r>
        <w:rPr>
          <w:rFonts w:ascii="仿宋_GB2312" w:hAnsi="仿宋_GB2312" w:eastAsia="仿宋_GB2312" w:cs="仿宋_GB2312"/>
          <w:color w:val="000000" w:themeColor="text1"/>
          <w:sz w:val="32"/>
          <w:szCs w:val="32"/>
          <w14:textFill>
            <w14:solidFill>
              <w14:schemeClr w14:val="tx1"/>
            </w14:solidFill>
          </w14:textFill>
        </w:rPr>
        <w:t>、总结</w:t>
      </w:r>
      <w:r>
        <w:rPr>
          <w:rFonts w:hint="eastAsia" w:ascii="仿宋_GB2312" w:hAnsi="仿宋_GB2312" w:eastAsia="仿宋_GB2312" w:cs="仿宋_GB2312"/>
          <w:color w:val="000000" w:themeColor="text1"/>
          <w:sz w:val="32"/>
          <w:szCs w:val="32"/>
          <w14:textFill>
            <w14:solidFill>
              <w14:schemeClr w14:val="tx1"/>
            </w14:solidFill>
          </w14:textFill>
        </w:rPr>
        <w:t>计划</w:t>
      </w:r>
      <w:r>
        <w:rPr>
          <w:rFonts w:ascii="仿宋_GB2312" w:hAnsi="仿宋_GB2312" w:eastAsia="仿宋_GB2312" w:cs="仿宋_GB2312"/>
          <w:color w:val="000000" w:themeColor="text1"/>
          <w:sz w:val="32"/>
          <w:szCs w:val="32"/>
          <w14:textFill>
            <w14:solidFill>
              <w14:schemeClr w14:val="tx1"/>
            </w14:solidFill>
          </w14:textFill>
        </w:rPr>
        <w:t>和建设信息编写</w:t>
      </w:r>
      <w:r>
        <w:rPr>
          <w:rFonts w:hint="eastAsia" w:ascii="仿宋_GB2312" w:hAnsi="仿宋_GB2312" w:eastAsia="仿宋_GB2312" w:cs="仿宋_GB2312"/>
          <w:color w:val="000000" w:themeColor="text1"/>
          <w:sz w:val="32"/>
          <w:szCs w:val="32"/>
          <w14:textFill>
            <w14:solidFill>
              <w14:schemeClr w14:val="tx1"/>
            </w14:solidFill>
          </w14:textFill>
        </w:rPr>
        <w:t>等工作，</w:t>
      </w:r>
      <w:r>
        <w:rPr>
          <w:rFonts w:ascii="仿宋_GB2312" w:hAnsi="仿宋_GB2312" w:eastAsia="仿宋_GB2312" w:cs="仿宋_GB2312"/>
          <w:color w:val="000000" w:themeColor="text1"/>
          <w:sz w:val="32"/>
          <w:szCs w:val="32"/>
          <w14:textFill>
            <w14:solidFill>
              <w14:schemeClr w14:val="tx1"/>
            </w14:solidFill>
          </w14:textFill>
        </w:rPr>
        <w:t>做好</w:t>
      </w:r>
      <w:r>
        <w:rPr>
          <w:rFonts w:ascii="仿宋_GB2312" w:hAnsi="仿宋_GB2312" w:eastAsia="仿宋_GB2312"/>
          <w:sz w:val="32"/>
          <w:szCs w:val="32"/>
        </w:rPr>
        <w:t>基地数据填报</w:t>
      </w:r>
      <w:r>
        <w:rPr>
          <w:rFonts w:hint="eastAsia" w:ascii="仿宋_GB2312" w:hAnsi="仿宋_GB2312" w:eastAsia="仿宋_GB2312" w:cs="仿宋_GB2312"/>
          <w:color w:val="000000" w:themeColor="text1"/>
          <w:sz w:val="32"/>
          <w:szCs w:val="32"/>
          <w14:textFill>
            <w14:solidFill>
              <w14:schemeClr w14:val="tx1"/>
            </w14:solidFill>
          </w14:textFill>
        </w:rPr>
        <w:t>。</w:t>
      </w:r>
    </w:p>
    <w:p>
      <w:pPr>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2.开展基地企业调研，</w:t>
      </w:r>
      <w:r>
        <w:rPr>
          <w:rFonts w:hint="eastAsia" w:ascii="仿宋_GB2312" w:hAnsi="仿宋_GB2312" w:eastAsia="仿宋_GB2312" w:cs="仿宋_GB2312"/>
          <w:sz w:val="32"/>
          <w:szCs w:val="32"/>
        </w:rPr>
        <w:t>全面了解企业发展情况、成效及问题，组织撰写基地调研报告至少2篇，并及时报送商务主管部门，充分反映企业诉求及建议</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3.举办国际市场数据分析、技术研发、产品检测、法律法规、资质认证、技术性贸易措施应对、产业及贸易政策等促进外贸公益性培训。组织培训场次不少于3场，每场参加企业不少于20家。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4.举办对外交流对接活动、基地整体</w:t>
      </w:r>
      <w:r>
        <w:rPr>
          <w:rFonts w:hint="eastAsia" w:ascii="仿宋_GB2312" w:hAnsi="仿宋_GB2312" w:eastAsia="仿宋_GB2312" w:cs="仿宋_GB2312"/>
          <w:color w:val="191919"/>
          <w:sz w:val="32"/>
          <w:szCs w:val="32"/>
        </w:rPr>
        <w:t>宣传推广活动或</w:t>
      </w:r>
      <w:r>
        <w:rPr>
          <w:rFonts w:hint="eastAsia" w:ascii="仿宋_GB2312" w:hAnsi="仿宋_GB2312" w:eastAsia="仿宋_GB2312" w:cs="仿宋_GB2312"/>
          <w:sz w:val="32"/>
          <w:szCs w:val="32"/>
        </w:rPr>
        <w:t>市场采购等外贸新业态辅导活动</w:t>
      </w:r>
      <w:r>
        <w:rPr>
          <w:rFonts w:hint="eastAsia" w:ascii="仿宋_GB2312" w:hAnsi="仿宋_GB2312" w:eastAsia="仿宋_GB2312" w:cs="仿宋_GB2312"/>
          <w:color w:val="191919"/>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提升区域和企业形象，拓展企业对外贸易渠道。每年举办活动场次不少于2次，每场参加企业不少于10家。</w:t>
      </w:r>
    </w:p>
    <w:p>
      <w:pPr>
        <w:tabs>
          <w:tab w:val="center" w:pos="4153"/>
        </w:tabs>
        <w:spacing w:line="560" w:lineRule="exact"/>
        <w:ind w:firstLine="63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（二）支持标准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对完成</w:t>
      </w:r>
      <w:r>
        <w:rPr>
          <w:rFonts w:ascii="仿宋_GB2312" w:hAnsi="仿宋_GB2312" w:eastAsia="仿宋_GB2312" w:cs="仿宋_GB2312"/>
          <w:color w:val="000000" w:themeColor="text1"/>
          <w:sz w:val="32"/>
          <w:szCs w:val="32"/>
          <w14:textFill>
            <w14:solidFill>
              <w14:schemeClr w14:val="tx1"/>
            </w14:solidFill>
          </w14:textFill>
        </w:rPr>
        <w:t>支持内容1</w:t>
      </w:r>
      <w:r>
        <w:rPr>
          <w:rFonts w:hint="eastAsia" w:ascii="仿宋_GB2312" w:hAnsi="仿宋_GB2312" w:eastAsia="仿宋_GB2312" w:cs="仿宋_GB2312"/>
          <w:color w:val="000000" w:themeColor="text1"/>
          <w:sz w:val="32"/>
          <w:szCs w:val="32"/>
          <w14:textFill>
            <w14:solidFill>
              <w14:schemeClr w14:val="tx1"/>
            </w14:solidFill>
          </w14:textFill>
        </w:rPr>
        <w:t>至</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所述工作，符合条件的基地工作站给予30万元奖励。</w:t>
      </w:r>
    </w:p>
    <w:p>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六、申报材料</w:t>
      </w:r>
    </w:p>
    <w:p>
      <w:pPr>
        <w:shd w:val="clear" w:color="auto" w:fill="FFFFFF"/>
        <w:spacing w:line="560" w:lineRule="exact"/>
        <w:ind w:firstLine="640" w:firstLineChars="200"/>
        <w:rPr>
          <w:rFonts w:ascii="楷体_GB2312" w:hAnsi="华文楷体" w:eastAsia="楷体_GB2312"/>
          <w:color w:val="000000" w:themeColor="text1"/>
          <w:sz w:val="32"/>
          <w:szCs w:val="32"/>
          <w14:textFill>
            <w14:solidFill>
              <w14:schemeClr w14:val="tx1"/>
            </w14:solidFill>
          </w14:textFill>
        </w:rPr>
      </w:pPr>
      <w:r>
        <w:rPr>
          <w:rFonts w:hint="eastAsia" w:ascii="楷体_GB2312" w:hAnsi="华文楷体" w:eastAsia="楷体_GB2312"/>
          <w:color w:val="000000" w:themeColor="text1"/>
          <w:sz w:val="32"/>
          <w:szCs w:val="32"/>
          <w14:textFill>
            <w14:solidFill>
              <w14:schemeClr w14:val="tx1"/>
            </w14:solidFill>
          </w14:textFill>
        </w:rPr>
        <w:t>（</w:t>
      </w:r>
      <w:r>
        <w:rPr>
          <w:rFonts w:ascii="楷体_GB2312" w:hAnsi="华文楷体" w:eastAsia="楷体_GB2312"/>
          <w:color w:val="000000" w:themeColor="text1"/>
          <w:sz w:val="32"/>
          <w:szCs w:val="32"/>
          <w14:textFill>
            <w14:solidFill>
              <w14:schemeClr w14:val="tx1"/>
            </w14:solidFill>
          </w14:textFill>
        </w:rPr>
        <w:t>一</w:t>
      </w:r>
      <w:r>
        <w:rPr>
          <w:rFonts w:hint="eastAsia" w:ascii="楷体_GB2312" w:hAnsi="华文楷体" w:eastAsia="楷体_GB2312"/>
          <w:color w:val="000000" w:themeColor="text1"/>
          <w:sz w:val="32"/>
          <w:szCs w:val="32"/>
          <w14:textFill>
            <w14:solidFill>
              <w14:schemeClr w14:val="tx1"/>
            </w14:solidFill>
          </w14:textFill>
        </w:rPr>
        <w:t>）基本材料</w:t>
      </w:r>
    </w:p>
    <w:p>
      <w:pPr>
        <w:shd w:val="clear" w:color="auto" w:fill="FFFFFF"/>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登录</w:t>
      </w:r>
      <w:r>
        <w:rPr>
          <w:rFonts w:hint="eastAsia" w:ascii="仿宋_GB2312" w:hAnsi="仿宋_GB2312" w:eastAsia="仿宋_GB2312" w:cs="仿宋_GB2312"/>
          <w:color w:val="000000" w:themeColor="text1"/>
          <w:sz w:val="32"/>
          <w:szCs w:val="32"/>
          <w14:textFill>
            <w14:solidFill>
              <w14:schemeClr w14:val="tx1"/>
            </w14:solidFill>
          </w14:textFill>
        </w:rPr>
        <w:t>广东政务服务网在线填报申请书（http://www.gdzwfw.gov.cn/—深圳市—市商务局—搜索</w:t>
      </w:r>
      <w:r>
        <w:rPr>
          <w:rFonts w:ascii="仿宋_GB2312" w:hAnsi="仿宋_GB2312" w:eastAsia="仿宋_GB2312" w:cs="仿宋_GB2312"/>
          <w:bCs/>
          <w:color w:val="000000" w:themeColor="text1"/>
          <w:sz w:val="32"/>
          <w:szCs w:val="32"/>
          <w14:textFill>
            <w14:solidFill>
              <w14:schemeClr w14:val="tx1"/>
            </w14:solidFill>
          </w14:textFill>
        </w:rPr>
        <w:t>促进外贸转型升级</w:t>
      </w:r>
      <w:r>
        <w:rPr>
          <w:rFonts w:hint="eastAsia" w:ascii="仿宋_GB2312" w:hAnsi="仿宋_GB2312" w:eastAsia="仿宋_GB2312" w:cs="仿宋_GB2312"/>
          <w:bCs/>
          <w:color w:val="000000" w:themeColor="text1"/>
          <w:kern w:val="0"/>
          <w:sz w:val="32"/>
          <w:szCs w:val="32"/>
          <w14:textFill>
            <w14:solidFill>
              <w14:schemeClr w14:val="tx1"/>
            </w14:solidFill>
          </w14:textFill>
        </w:rPr>
        <w:t>事项），</w:t>
      </w:r>
      <w:r>
        <w:rPr>
          <w:rFonts w:hint="eastAsia" w:ascii="仿宋_GB2312" w:hAnsi="仿宋_GB2312" w:eastAsia="仿宋_GB2312" w:cs="仿宋_GB2312"/>
          <w:color w:val="000000" w:themeColor="text1"/>
          <w:sz w:val="32"/>
          <w:szCs w:val="32"/>
          <w14:textFill>
            <w14:solidFill>
              <w14:schemeClr w14:val="tx1"/>
            </w14:solidFill>
          </w14:textFill>
        </w:rPr>
        <w:t>提供通过该系统打印的申请书纸质文件原件。</w:t>
      </w:r>
    </w:p>
    <w:p>
      <w:pPr>
        <w:pStyle w:val="8"/>
        <w:wordWrap w:val="0"/>
        <w:spacing w:beforeAutospacing="0" w:afterAutospacing="0" w:line="560" w:lineRule="exact"/>
        <w:ind w:firstLine="640"/>
        <w:jc w:val="both"/>
        <w:rPr>
          <w:rFonts w:ascii="仿宋_GB2312" w:hAnsi="仿宋_GB2312" w:eastAsia="仿宋_GB2312"/>
          <w:kern w:val="2"/>
          <w:sz w:val="32"/>
          <w:szCs w:val="32"/>
        </w:rPr>
      </w:pPr>
      <w:r>
        <w:rPr>
          <w:rFonts w:hint="eastAsia" w:ascii="仿宋_GB2312" w:hAnsi="仿宋_GB2312" w:eastAsia="仿宋_GB2312"/>
          <w:kern w:val="2"/>
          <w:sz w:val="32"/>
          <w:szCs w:val="32"/>
        </w:rPr>
        <w:t>2.申报单位为企业法人的，提供营业执照副本或营业执照电子版；申报单位为社会组织的，提供社会组织登记证复印件。</w:t>
      </w:r>
    </w:p>
    <w:p>
      <w:pPr>
        <w:widowControl/>
        <w:shd w:val="clear" w:color="auto" w:fill="FFFFFF"/>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ascii="楷体_GB2312" w:eastAsia="楷体_GB2312"/>
          <w:color w:val="000000" w:themeColor="text1"/>
          <w:sz w:val="32"/>
          <w:szCs w:val="32"/>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）项目材料</w:t>
      </w:r>
    </w:p>
    <w:p>
      <w:pPr>
        <w:pStyle w:val="8"/>
        <w:widowControl/>
        <w:wordWrap w:val="0"/>
        <w:spacing w:beforeAutospacing="0" w:afterAutospacing="0" w:line="560" w:lineRule="exact"/>
        <w:ind w:firstLine="64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1.涉及加强基地管理的，应提供数据具体内容、统计编制说明</w:t>
      </w:r>
      <w:r>
        <w:rPr>
          <w:rFonts w:ascii="仿宋_GB2312" w:hAnsi="仿宋_GB2312" w:eastAsia="仿宋_GB2312" w:cs="仿宋_GB2312"/>
          <w:color w:val="000000" w:themeColor="text1"/>
          <w:kern w:val="2"/>
          <w:sz w:val="32"/>
          <w:szCs w:val="32"/>
          <w14:textFill>
            <w14:solidFill>
              <w14:schemeClr w14:val="tx1"/>
            </w14:solidFill>
          </w14:textFill>
        </w:rPr>
        <w:t>、落实广东省基地统计调查制度的有关报表，以及</w:t>
      </w:r>
      <w:r>
        <w:rPr>
          <w:rFonts w:hint="eastAsia" w:ascii="仿宋_GB2312" w:hAnsi="仿宋_GB2312" w:eastAsia="仿宋_GB2312" w:cs="仿宋_GB2312"/>
          <w:color w:val="000000" w:themeColor="text1"/>
          <w:kern w:val="2"/>
          <w:sz w:val="32"/>
          <w:szCs w:val="32"/>
          <w14:textFill>
            <w14:solidFill>
              <w14:schemeClr w14:val="tx1"/>
            </w14:solidFill>
          </w14:textFill>
        </w:rPr>
        <w:t>通过商务部</w:t>
      </w:r>
      <w:r>
        <w:rPr>
          <w:rFonts w:ascii="仿宋_GB2312" w:hAnsi="仿宋_GB2312" w:eastAsia="仿宋_GB2312" w:cs="仿宋_GB2312"/>
          <w:color w:val="000000" w:themeColor="text1"/>
          <w:kern w:val="2"/>
          <w:sz w:val="32"/>
          <w:szCs w:val="32"/>
          <w14:textFill>
            <w14:solidFill>
              <w14:schemeClr w14:val="tx1"/>
            </w14:solidFill>
          </w14:textFill>
        </w:rPr>
        <w:t>、广东省</w:t>
      </w:r>
      <w:r>
        <w:rPr>
          <w:rFonts w:ascii="仿宋_GB2312" w:hAnsi="仿宋_GB2312" w:eastAsia="仿宋_GB2312"/>
          <w:kern w:val="2"/>
          <w:sz w:val="32"/>
          <w:szCs w:val="32"/>
        </w:rPr>
        <w:t>基地管理</w:t>
      </w:r>
      <w:r>
        <w:rPr>
          <w:rFonts w:hint="eastAsia" w:ascii="仿宋_GB2312" w:hAnsi="仿宋_GB2312" w:eastAsia="仿宋_GB2312"/>
          <w:kern w:val="2"/>
          <w:sz w:val="32"/>
          <w:szCs w:val="32"/>
        </w:rPr>
        <w:t>系统</w:t>
      </w:r>
      <w:r>
        <w:rPr>
          <w:rFonts w:hint="eastAsia" w:ascii="仿宋_GB2312" w:hAnsi="仿宋_GB2312" w:eastAsia="仿宋_GB2312" w:cs="仿宋_GB2312"/>
          <w:color w:val="000000" w:themeColor="text1"/>
          <w:kern w:val="2"/>
          <w:sz w:val="32"/>
          <w:szCs w:val="32"/>
          <w14:textFill>
            <w14:solidFill>
              <w14:schemeClr w14:val="tx1"/>
            </w14:solidFill>
          </w14:textFill>
        </w:rPr>
        <w:t>报送数据情况的佐证材料，提供年度工作总结计划书和基地建设信息材料。</w:t>
      </w:r>
    </w:p>
    <w:p>
      <w:pPr>
        <w:pStyle w:val="8"/>
        <w:widowControl/>
        <w:wordWrap w:val="0"/>
        <w:spacing w:beforeAutospacing="0" w:afterAutospacing="0" w:line="560" w:lineRule="exact"/>
        <w:ind w:firstLine="640"/>
        <w:jc w:val="both"/>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2.涉及企业调研的，应提供企业调研报告全文、调研有关图片及已报送商务主管部门的佐证材料。</w:t>
      </w:r>
    </w:p>
    <w:p>
      <w:pPr>
        <w:widowControl/>
        <w:numPr>
          <w:ilvl w:val="255"/>
          <w:numId w:val="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3.举办促进外贸公益性培训的，应提供培训工作总结，包括培训内容、参加企业情况和取得成效等；提供组织企业参加培训的通知、企业签到表、活动现场图片等。</w:t>
      </w:r>
    </w:p>
    <w:p>
      <w:pPr>
        <w:pStyle w:val="8"/>
        <w:widowControl/>
        <w:wordWrap w:val="0"/>
        <w:spacing w:beforeAutospacing="0" w:afterAutospacing="0" w:line="560" w:lineRule="exact"/>
        <w:ind w:firstLine="64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4.举办对外交流对接活动、基地品牌整体</w:t>
      </w:r>
      <w:r>
        <w:rPr>
          <w:rFonts w:hint="eastAsia" w:ascii="仿宋_GB2312" w:hAnsi="仿宋_GB2312" w:eastAsia="仿宋_GB2312" w:cs="仿宋_GB2312"/>
          <w:color w:val="191919"/>
          <w:sz w:val="32"/>
          <w:szCs w:val="32"/>
        </w:rPr>
        <w:t>宣传推广活动或</w:t>
      </w:r>
      <w:r>
        <w:rPr>
          <w:rFonts w:hint="eastAsia" w:ascii="仿宋_GB2312" w:hAnsi="仿宋_GB2312" w:eastAsia="仿宋_GB2312" w:cs="仿宋_GB2312"/>
          <w:sz w:val="32"/>
          <w:szCs w:val="32"/>
        </w:rPr>
        <w:t>市场采购等外贸新业态辅导活动</w:t>
      </w:r>
      <w:r>
        <w:rPr>
          <w:rFonts w:hint="eastAsia" w:ascii="仿宋_GB2312" w:hAnsi="仿宋_GB2312" w:eastAsia="仿宋_GB2312" w:cs="仿宋_GB2312"/>
          <w:color w:val="191919"/>
          <w:sz w:val="32"/>
          <w:szCs w:val="32"/>
        </w:rPr>
        <w:t>的，</w:t>
      </w:r>
      <w:r>
        <w:rPr>
          <w:rFonts w:hint="eastAsia" w:ascii="仿宋_GB2312" w:hAnsi="仿宋_GB2312" w:eastAsia="仿宋_GB2312" w:cs="仿宋_GB2312"/>
          <w:color w:val="000000" w:themeColor="text1"/>
          <w:sz w:val="32"/>
          <w:szCs w:val="32"/>
          <w14:textFill>
            <w14:solidFill>
              <w14:schemeClr w14:val="tx1"/>
            </w14:solidFill>
          </w14:textFill>
        </w:rPr>
        <w:t>应提供活动总结情况，包括活动内容、过程和成效等；提供开展活动的有效证明文件，包括组织活动的通知、企业签到表、活动现场图片等。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均需加盖申报单位公章，多页的还需加盖骑缝公章；涉及总结、报告、报表的需提供原件；涉及外文的，需提供中文翻译件；一式两份，A4纸正反面打印/复印，非空白页（含封面）需连续编写页码，装订成册（胶装）。</w:t>
      </w:r>
    </w:p>
    <w:p>
      <w:pPr>
        <w:spacing w:line="560" w:lineRule="exact"/>
        <w:ind w:firstLine="420" w:firstLineChars="200"/>
        <w:contextualSpacing/>
        <w:outlineLvl w:val="0"/>
        <w:rPr>
          <w:rFonts w:eastAsia="仿宋_GB2312"/>
        </w:rPr>
      </w:pPr>
      <w:r>
        <w:rPr>
          <w:rFonts w:hint="eastAsia" w:eastAsia="仿宋_GB2312"/>
        </w:rPr>
        <w:t xml:space="preserve">  </w:t>
      </w:r>
      <w:r>
        <w:rPr>
          <w:rFonts w:hint="eastAsia" w:ascii="仿宋_GB2312" w:eastAsia="仿宋_GB2312"/>
          <w:sz w:val="32"/>
          <w:szCs w:val="32"/>
        </w:rPr>
        <w:t>申报单位提供的纸质材料和填报的电子材料应保持一致，如出现不同，应</w:t>
      </w:r>
      <w:r>
        <w:rPr>
          <w:rFonts w:ascii="仿宋_GB2312" w:eastAsia="仿宋_GB2312"/>
          <w:sz w:val="32"/>
          <w:szCs w:val="32"/>
        </w:rPr>
        <w:t>按要求按时重新提交</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本指南第六条</w:t>
      </w:r>
      <w:r>
        <w:rPr>
          <w:rFonts w:hint="eastAsia" w:ascii="仿宋_GB2312" w:hAnsi="宋体" w:eastAsia="仿宋_GB2312" w:cs="宋体"/>
          <w:kern w:val="0"/>
          <w:sz w:val="32"/>
          <w:szCs w:val="32"/>
        </w:rPr>
        <w:t>（</w:t>
      </w:r>
      <w:r>
        <w:rPr>
          <w:rFonts w:ascii="仿宋_GB2312" w:hAnsi="宋体" w:eastAsia="仿宋_GB2312" w:cs="宋体"/>
          <w:kern w:val="0"/>
          <w:sz w:val="32"/>
          <w:szCs w:val="32"/>
        </w:rPr>
        <w:t>一</w:t>
      </w:r>
      <w:r>
        <w:rPr>
          <w:rFonts w:hint="eastAsia" w:ascii="仿宋_GB2312" w:hAnsi="宋体" w:eastAsia="仿宋_GB2312" w:cs="宋体"/>
          <w:kern w:val="0"/>
          <w:sz w:val="32"/>
          <w:szCs w:val="32"/>
        </w:rPr>
        <w:t>）规定申请书。</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八、受理信息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（一）受理机关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深圳市商务局</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（二）受理时间</w:t>
      </w:r>
    </w:p>
    <w:p>
      <w:pPr>
        <w:spacing w:line="560" w:lineRule="exact"/>
        <w:ind w:firstLine="640" w:firstLineChars="200"/>
        <w:rPr>
          <w:rFonts w:ascii="仿宋_GB2312" w:hAnsi="仿宋_GB2312" w:eastAsia="仿宋_GB2312" w:cs="仿宋_GB2312"/>
          <w:sz w:val="32"/>
          <w:szCs w:val="32"/>
        </w:rPr>
      </w:pPr>
      <w:bookmarkStart w:id="1" w:name="_Hlk108261530"/>
      <w:r>
        <w:rPr>
          <w:rFonts w:hint="eastAsia" w:ascii="仿宋_GB2312" w:hAnsi="仿宋_GB2312" w:eastAsia="仿宋_GB2312" w:cs="仿宋_GB2312"/>
          <w:sz w:val="32"/>
          <w:szCs w:val="32"/>
        </w:rPr>
        <w:t>1.网络填报时间：</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hint="default" w:ascii="仿宋_GB2312" w:hAnsi="仿宋_GB2312" w:eastAsia="仿宋_GB2312" w:cs="仿宋_GB2312"/>
          <w:bCs/>
          <w:sz w:val="32"/>
          <w:szCs w:val="32"/>
        </w:rPr>
        <w:t>9</w:t>
      </w:r>
      <w:r>
        <w:rPr>
          <w:rFonts w:hint="eastAsia" w:ascii="仿宋_GB2312" w:hAnsi="宋体" w:eastAsia="仿宋_GB2312" w:cs="宋体"/>
          <w:kern w:val="0"/>
          <w:sz w:val="32"/>
          <w:szCs w:val="32"/>
        </w:rPr>
        <w:t>月</w:t>
      </w:r>
      <w:r>
        <w:rPr>
          <w:rFonts w:hint="eastAsia" w:ascii="仿宋_GB2312" w:hAnsi="仿宋_GB2312" w:eastAsia="仿宋_GB2312" w:cs="仿宋_GB2312"/>
          <w:bCs/>
          <w:sz w:val="32"/>
          <w:szCs w:val="32"/>
          <w:lang w:val="en-US" w:eastAsia="zh-CN"/>
        </w:rPr>
        <w:t>2</w:t>
      </w:r>
      <w:r>
        <w:rPr>
          <w:rFonts w:hint="default" w:ascii="仿宋_GB2312" w:hAnsi="仿宋_GB2312" w:eastAsia="仿宋_GB2312" w:cs="仿宋_GB2312"/>
          <w:bCs/>
          <w:sz w:val="32"/>
          <w:szCs w:val="32"/>
          <w:lang w:val="en-US" w:eastAsia="zh-CN"/>
        </w:rPr>
        <w:t>9</w:t>
      </w:r>
      <w:r>
        <w:rPr>
          <w:rFonts w:hint="eastAsia" w:ascii="仿宋_GB2312" w:hAnsi="宋体" w:eastAsia="仿宋_GB2312" w:cs="宋体"/>
          <w:kern w:val="0"/>
          <w:sz w:val="32"/>
          <w:szCs w:val="32"/>
        </w:rPr>
        <w:t>日-202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w:t>
      </w:r>
      <w:r>
        <w:rPr>
          <w:rFonts w:hint="default" w:ascii="仿宋_GB2312" w:hAnsi="仿宋_GB2312" w:eastAsia="仿宋_GB2312" w:cs="仿宋_GB2312"/>
          <w:bCs/>
          <w:sz w:val="32"/>
          <w:szCs w:val="32"/>
        </w:rPr>
        <w:t>10</w:t>
      </w:r>
      <w:r>
        <w:rPr>
          <w:rFonts w:hint="eastAsia" w:ascii="仿宋_GB2312" w:hAnsi="宋体" w:eastAsia="仿宋_GB2312" w:cs="宋体"/>
          <w:kern w:val="0"/>
          <w:sz w:val="32"/>
          <w:szCs w:val="32"/>
        </w:rPr>
        <w:t>月</w:t>
      </w:r>
      <w:r>
        <w:rPr>
          <w:rFonts w:hint="eastAsia" w:ascii="仿宋_GB2312" w:hAnsi="仿宋_GB2312" w:eastAsia="仿宋_GB2312" w:cs="仿宋_GB2312"/>
          <w:bCs/>
          <w:sz w:val="32"/>
          <w:szCs w:val="32"/>
          <w:lang w:val="en-US" w:eastAsia="zh-CN"/>
        </w:rPr>
        <w:t>1</w:t>
      </w:r>
      <w:r>
        <w:rPr>
          <w:rFonts w:hint="default" w:ascii="仿宋_GB2312" w:hAnsi="仿宋_GB2312" w:eastAsia="仿宋_GB2312" w:cs="仿宋_GB2312"/>
          <w:bCs/>
          <w:sz w:val="32"/>
          <w:szCs w:val="32"/>
          <w:lang w:val="en-US" w:eastAsia="zh-CN"/>
        </w:rPr>
        <w:t>2</w:t>
      </w:r>
      <w:r>
        <w:rPr>
          <w:rFonts w:hint="eastAsia" w:ascii="仿宋_GB2312" w:hAnsi="宋体" w:eastAsia="仿宋_GB2312" w:cs="宋体"/>
          <w:kern w:val="0"/>
          <w:sz w:val="32"/>
          <w:szCs w:val="32"/>
        </w:rPr>
        <w:t>日</w:t>
      </w:r>
      <w:r>
        <w:rPr>
          <w:rFonts w:hint="eastAsia" w:ascii="仿宋_GB2312" w:hAnsi="仿宋_GB2312" w:eastAsia="仿宋_GB2312" w:cs="仿宋_GB2312"/>
          <w:sz w:val="32"/>
          <w:szCs w:val="32"/>
        </w:rPr>
        <w:t>18:00。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2.材料提交时间:202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default" w:ascii="仿宋_GB2312" w:hAnsi="仿宋_GB2312" w:eastAsia="仿宋_GB2312" w:cs="仿宋_GB2312"/>
          <w:bCs/>
          <w:sz w:val="32"/>
          <w:szCs w:val="32"/>
        </w:rPr>
        <w:t>2</w:t>
      </w:r>
      <w:r>
        <w:rPr>
          <w:rFonts w:hint="default" w:ascii="仿宋_GB2312" w:hAnsi="仿宋_GB2312" w:eastAsia="仿宋_GB2312" w:cs="仿宋_GB2312"/>
          <w:bCs/>
          <w:sz w:val="32"/>
          <w:szCs w:val="32"/>
          <w:lang w:val="en-US" w:eastAsia="zh-CN"/>
        </w:rPr>
        <w:t>9</w:t>
      </w:r>
      <w:r>
        <w:rPr>
          <w:rFonts w:hint="eastAsia" w:ascii="仿宋_GB2312" w:hAnsi="仿宋_GB2312" w:eastAsia="仿宋_GB2312" w:cs="仿宋_GB2312"/>
          <w:sz w:val="32"/>
          <w:szCs w:val="32"/>
        </w:rPr>
        <w:t>日-202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hint="default" w:ascii="仿宋_GB2312" w:hAnsi="仿宋_GB2312" w:eastAsia="仿宋_GB2312" w:cs="仿宋_GB2312"/>
          <w:bCs/>
          <w:sz w:val="32"/>
          <w:szCs w:val="32"/>
        </w:rPr>
        <w:t>10</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日17:45。</w:t>
      </w:r>
    </w:p>
    <w:bookmarkEnd w:id="1"/>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申报单位在上述规定时间内在线填报、提交材料，逾期不予受理。</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（三）受理地点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深圳市福田区福中三路市民中心B区市行政服务大厅西厅综合窗口。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为做好疫情防控，减少人员聚集，到深圳市行政服务大厅提交材料需提前预约。预约指南：“i深圳”APP或关注“深圳行政服务大厅”微信公众号。操作流程：【办事预约】或【预约取号】—【深圳市行政服务大厅西厅】。疫情期间，请按照预约时段，错峰提交材料）。</w:t>
      </w:r>
    </w:p>
    <w:p>
      <w:pPr>
        <w:spacing w:line="560" w:lineRule="exact"/>
        <w:ind w:left="645"/>
        <w:rPr>
          <w:rFonts w:ascii="楷体_GB2312" w:hAnsi="楷体_GB2312" w:eastAsia="楷体_GB2312" w:cs="楷体_GB2312"/>
          <w:sz w:val="32"/>
          <w:szCs w:val="32"/>
        </w:rPr>
      </w:pPr>
      <w:r>
        <w:rPr>
          <w:rFonts w:hint="eastAsia" w:ascii="楷体_GB2312" w:hAnsi="楷体_GB2312" w:eastAsia="楷体_GB2312" w:cs="楷体_GB2312"/>
          <w:sz w:val="32"/>
          <w:szCs w:val="32"/>
        </w:rPr>
        <w:t>（四）咨询电话</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项目申报咨询电话：0755-</w:t>
      </w:r>
      <w:r>
        <w:rPr>
          <w:rFonts w:ascii="仿宋_GB2312" w:hAnsi="仿宋_GB2312" w:eastAsia="仿宋_GB2312" w:cs="仿宋_GB2312"/>
          <w:bCs/>
          <w:sz w:val="32"/>
          <w:szCs w:val="32"/>
        </w:rPr>
        <w:t>88102091</w:t>
      </w:r>
      <w:r>
        <w:rPr>
          <w:rFonts w:hint="eastAsia" w:ascii="仿宋_GB2312" w:hAnsi="仿宋_GB2312" w:eastAsia="仿宋_GB2312" w:cs="仿宋_GB2312"/>
          <w:bCs/>
          <w:sz w:val="32"/>
          <w:szCs w:val="32"/>
        </w:rPr>
        <w:t>。</w:t>
      </w:r>
    </w:p>
    <w:p>
      <w:pPr>
        <w:spacing w:line="560" w:lineRule="exact"/>
        <w:ind w:left="645"/>
        <w:rPr>
          <w:rFonts w:ascii="仿宋_GB2312" w:hAnsi="仿宋_GB2312" w:eastAsia="仿宋_GB2312" w:cs="仿宋_GB2312"/>
          <w:sz w:val="32"/>
          <w:szCs w:val="32"/>
        </w:rPr>
      </w:pPr>
      <w:r>
        <w:rPr>
          <w:rFonts w:hint="eastAsia" w:ascii="仿宋_GB2312" w:hAnsi="仿宋_GB2312" w:eastAsia="仿宋_GB2312" w:cs="仿宋_GB2312"/>
          <w:sz w:val="32"/>
          <w:szCs w:val="32"/>
        </w:rPr>
        <w:t>系统技术服务电话：0755-</w:t>
      </w:r>
      <w:r>
        <w:rPr>
          <w:rFonts w:ascii="仿宋_GB2312" w:hAnsi="仿宋_GB2312" w:eastAsia="仿宋_GB2312" w:cs="仿宋_GB2312"/>
          <w:sz w:val="32"/>
          <w:szCs w:val="32"/>
        </w:rPr>
        <w:t>88102445</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tabs>
          <w:tab w:val="center" w:pos="4153"/>
        </w:tabs>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outlineLvl w:val="0"/>
        <w:rPr>
          <w:rFonts w:ascii="仿宋_GB2312" w:hAnsi="仿宋_GB2312" w:eastAsia="仿宋_GB2312"/>
          <w:sz w:val="32"/>
          <w:szCs w:val="32"/>
          <w:lang w:bidi="ar"/>
        </w:rPr>
      </w:pPr>
      <w:r>
        <w:rPr>
          <w:rFonts w:hint="eastAsia" w:ascii="仿宋_GB2312" w:hAnsi="仿宋_GB2312" w:eastAsia="仿宋_GB2312"/>
          <w:sz w:val="32"/>
          <w:szCs w:val="32"/>
          <w:lang w:bidi="ar"/>
        </w:rPr>
        <w:t>市商务局发布申报指南——申报单位网上申报——市商务局网上初审——申报单位提交申请材料——市商务局开展形式审查——资质审查（根据需要核查比对：资质情况、统计数据，是否存在重复资助情形、有否被列入失信惩戒名单、有无重大违法违规行为、有无拖欠应缴还的财政性资金等情况）——拟定奖励计划——社会公示——通知申报单位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材料提交时间</w:t>
      </w:r>
      <w:r>
        <w:rPr>
          <w:rFonts w:ascii="仿宋_GB2312" w:hAnsi="仿宋_GB2312" w:eastAsia="仿宋_GB2312" w:cs="仿宋_GB2312"/>
          <w:sz w:val="32"/>
          <w:szCs w:val="32"/>
        </w:rPr>
        <w:t>截止日起</w:t>
      </w:r>
      <w:r>
        <w:rPr>
          <w:rFonts w:ascii="仿宋_GB2312" w:hAnsi="仿宋_GB2312" w:eastAsia="仿宋_GB2312" w:cs="仿宋_GB2312"/>
          <w:bCs/>
          <w:sz w:val="32"/>
          <w:szCs w:val="32"/>
        </w:rPr>
        <w:t>90</w:t>
      </w:r>
      <w:r>
        <w:rPr>
          <w:rFonts w:ascii="仿宋_GB2312" w:eastAsia="仿宋_GB2312"/>
          <w:sz w:val="32"/>
          <w:szCs w:val="32"/>
        </w:rPr>
        <w:t>个工作日</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十六、监督检查和补充说明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四</w:t>
      </w:r>
      <w:r>
        <w:rPr>
          <w:rFonts w:hint="eastAsia" w:ascii="仿宋_GB2312" w:eastAsia="仿宋_GB2312"/>
          <w:sz w:val="32"/>
          <w:szCs w:val="32"/>
        </w:rPr>
        <w:t>）申报单位在项目申报期间发生企业名称、联系信息变更的，应及时联系并提供变更材料，如因未及时变更产生的后果由企业自行承担。</w:t>
      </w:r>
    </w:p>
    <w:p>
      <w:pPr>
        <w:widowControl/>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hint="eastAsia" w:ascii="仿宋_GB2312" w:hAnsi="宋体" w:eastAsia="仿宋_GB2312"/>
          <w:sz w:val="32"/>
          <w:szCs w:val="32"/>
        </w:rPr>
        <w:t>应按照要求办理资金拨付手续。</w:t>
      </w:r>
    </w:p>
    <w:p>
      <w:pPr>
        <w:spacing w:line="56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国家外贸转型升级基地名单</w:t>
      </w:r>
    </w:p>
    <w:p>
      <w:pPr>
        <w:spacing w:line="560"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（深圳市）</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深圳市光明新区国家外贸转型升级基地（手表）</w:t>
      </w: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深圳市龙华大浪国家外贸转型升级基地（服装）</w:t>
      </w: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深圳市罗湖区国家外贸转型升级基地（黄金珠宝）</w:t>
      </w: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深圳市南山区国家外贸转型升级基地（医疗器械）</w:t>
      </w:r>
    </w:p>
    <w:p>
      <w:pPr>
        <w:spacing w:line="560" w:lineRule="exact"/>
        <w:ind w:firstLine="630"/>
        <w:rPr>
          <w:rFonts w:ascii="仿宋_GB2312" w:hAnsi="仿宋_GB2312" w:eastAsia="仿宋_GB2312" w:cs="仿宋_GB2312"/>
          <w:sz w:val="32"/>
          <w:szCs w:val="32"/>
        </w:rPr>
      </w:pPr>
      <w:r>
        <w:rPr>
          <w:rFonts w:hint="eastAsia" w:ascii="Times New Roman" w:hAnsi="Times New Roman" w:eastAsia="仿宋_GB2312"/>
          <w:sz w:val="32"/>
          <w:szCs w:val="32"/>
        </w:rPr>
        <w:t>深圳市坪山区国家外贸转型升级基地（新能源汽车）</w:t>
      </w:r>
    </w:p>
    <w:p>
      <w:pPr>
        <w:spacing w:line="560" w:lineRule="exact"/>
        <w:ind w:right="800" w:firstLine="640" w:firstLineChars="200"/>
        <w:rPr>
          <w:rFonts w:ascii="Times New Roman" w:hAnsi="Times New Roman" w:eastAsia="仿宋_GB2312"/>
          <w:sz w:val="32"/>
          <w:szCs w:val="32"/>
        </w:rPr>
      </w:pPr>
      <w:r>
        <w:rPr>
          <w:rFonts w:hint="eastAsia" w:ascii="Times New Roman" w:hAnsi="Times New Roman" w:eastAsia="仿宋_GB2312"/>
          <w:sz w:val="32"/>
          <w:szCs w:val="32"/>
        </w:rPr>
        <w:t>深圳市龙岗区国家外贸转型升级基地（眼镜）</w:t>
      </w:r>
    </w:p>
    <w:p>
      <w:pPr>
        <w:snapToGrid w:val="0"/>
        <w:spacing w:line="560" w:lineRule="exact"/>
        <w:ind w:firstLine="640" w:firstLineChars="200"/>
        <w:rPr>
          <w:rFonts w:ascii="仿宋_GB2312" w:hAnsi="仿宋_GB2312" w:eastAsia="仿宋_GB2312"/>
          <w:sz w:val="32"/>
          <w:szCs w:val="32"/>
        </w:rPr>
      </w:pPr>
    </w:p>
    <w:p>
      <w:pPr>
        <w:snapToGrid w:val="0"/>
        <w:spacing w:line="560" w:lineRule="exact"/>
        <w:ind w:firstLine="640" w:firstLineChars="200"/>
        <w:rPr>
          <w:rFonts w:ascii="仿宋_GB2312" w:hAnsi="仿宋_GB2312" w:eastAsia="仿宋_GB2312"/>
          <w:sz w:val="32"/>
          <w:szCs w:val="32"/>
        </w:rPr>
      </w:pPr>
    </w:p>
    <w:p>
      <w:pPr>
        <w:snapToGrid w:val="0"/>
        <w:spacing w:line="560" w:lineRule="exact"/>
        <w:ind w:firstLine="640" w:firstLineChars="200"/>
        <w:rPr>
          <w:rFonts w:ascii="仿宋_GB2312" w:hAnsi="仿宋_GB2312" w:eastAsia="仿宋_GB2312"/>
          <w:sz w:val="32"/>
          <w:szCs w:val="32"/>
        </w:rPr>
      </w:pPr>
    </w:p>
    <w:p>
      <w:pPr>
        <w:snapToGrid w:val="0"/>
        <w:spacing w:line="560" w:lineRule="exact"/>
        <w:ind w:firstLine="640" w:firstLineChars="200"/>
        <w:rPr>
          <w:rFonts w:ascii="仿宋_GB2312" w:hAnsi="仿宋_GB2312" w:eastAsia="仿宋_GB2312"/>
          <w:sz w:val="32"/>
          <w:szCs w:val="32"/>
        </w:rPr>
      </w:pPr>
    </w:p>
    <w:p>
      <w:pPr>
        <w:spacing w:line="560" w:lineRule="exact"/>
      </w:pP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ind w:left="210" w:leftChars="100"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rPr>
        <w:rFonts w:ascii="仿宋_GB2312" w:hAnsi="仿宋_GB2312" w:eastAsia="仿宋_GB2312" w:cs="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6F071A"/>
    <w:multiLevelType w:val="singleLevel"/>
    <w:tmpl w:val="9E6F07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MmU5YzZiYTdkMDdkYWRmNmY4MjNmYTg4OGJlNmUifQ=="/>
  </w:docVars>
  <w:rsids>
    <w:rsidRoot w:val="00D1515E"/>
    <w:rsid w:val="0009657C"/>
    <w:rsid w:val="000B053D"/>
    <w:rsid w:val="0023135B"/>
    <w:rsid w:val="005C5C53"/>
    <w:rsid w:val="005E233C"/>
    <w:rsid w:val="009E0A2E"/>
    <w:rsid w:val="00C568D3"/>
    <w:rsid w:val="00D1515E"/>
    <w:rsid w:val="00E04294"/>
    <w:rsid w:val="00E76472"/>
    <w:rsid w:val="00EA2688"/>
    <w:rsid w:val="01593A2F"/>
    <w:rsid w:val="032419EF"/>
    <w:rsid w:val="066703DC"/>
    <w:rsid w:val="0C9F5D29"/>
    <w:rsid w:val="0CB31AF0"/>
    <w:rsid w:val="0FE15D1C"/>
    <w:rsid w:val="130D5CAA"/>
    <w:rsid w:val="13707E77"/>
    <w:rsid w:val="1417343F"/>
    <w:rsid w:val="17496A4C"/>
    <w:rsid w:val="187D2069"/>
    <w:rsid w:val="1AE30006"/>
    <w:rsid w:val="2028784D"/>
    <w:rsid w:val="203B5C97"/>
    <w:rsid w:val="22AA4F68"/>
    <w:rsid w:val="25CC70A5"/>
    <w:rsid w:val="27EE6CD9"/>
    <w:rsid w:val="28FB65E3"/>
    <w:rsid w:val="29236148"/>
    <w:rsid w:val="29F60060"/>
    <w:rsid w:val="2BD609A2"/>
    <w:rsid w:val="2CED3247"/>
    <w:rsid w:val="2F077C5B"/>
    <w:rsid w:val="3001126A"/>
    <w:rsid w:val="33FD570F"/>
    <w:rsid w:val="352E592B"/>
    <w:rsid w:val="370B567D"/>
    <w:rsid w:val="37FFF8B9"/>
    <w:rsid w:val="38D100A6"/>
    <w:rsid w:val="39B6399E"/>
    <w:rsid w:val="3A830F6C"/>
    <w:rsid w:val="3BF6368A"/>
    <w:rsid w:val="40324F91"/>
    <w:rsid w:val="44AD3575"/>
    <w:rsid w:val="47DF0F46"/>
    <w:rsid w:val="48800C4E"/>
    <w:rsid w:val="49D47F76"/>
    <w:rsid w:val="4A655237"/>
    <w:rsid w:val="4C78793F"/>
    <w:rsid w:val="4E3F4083"/>
    <w:rsid w:val="4F604300"/>
    <w:rsid w:val="5246447D"/>
    <w:rsid w:val="5425781E"/>
    <w:rsid w:val="54B708C9"/>
    <w:rsid w:val="56525023"/>
    <w:rsid w:val="56651D9F"/>
    <w:rsid w:val="56EF3235"/>
    <w:rsid w:val="577C1811"/>
    <w:rsid w:val="57AA58DC"/>
    <w:rsid w:val="587F212C"/>
    <w:rsid w:val="5A1E6BC6"/>
    <w:rsid w:val="5A6F6078"/>
    <w:rsid w:val="5DBC56FB"/>
    <w:rsid w:val="5EC45CEC"/>
    <w:rsid w:val="5F5F0B66"/>
    <w:rsid w:val="5FBC8A2D"/>
    <w:rsid w:val="650A437B"/>
    <w:rsid w:val="69E50FEC"/>
    <w:rsid w:val="6A979AE3"/>
    <w:rsid w:val="6B7258F8"/>
    <w:rsid w:val="6BCE504B"/>
    <w:rsid w:val="6BDD10C1"/>
    <w:rsid w:val="6F2A0D2B"/>
    <w:rsid w:val="70267C90"/>
    <w:rsid w:val="72EBC780"/>
    <w:rsid w:val="72FB60DB"/>
    <w:rsid w:val="732D39D7"/>
    <w:rsid w:val="747F4AB8"/>
    <w:rsid w:val="7491168D"/>
    <w:rsid w:val="77C53518"/>
    <w:rsid w:val="79BF2BD2"/>
    <w:rsid w:val="7A27030F"/>
    <w:rsid w:val="7CD4A00F"/>
    <w:rsid w:val="7D2C26CE"/>
    <w:rsid w:val="7D5F9FC0"/>
    <w:rsid w:val="7D64692A"/>
    <w:rsid w:val="7DEBE768"/>
    <w:rsid w:val="7E6FA923"/>
    <w:rsid w:val="7E9FE8D9"/>
    <w:rsid w:val="7EAFB241"/>
    <w:rsid w:val="7EFF8359"/>
    <w:rsid w:val="7F4A346E"/>
    <w:rsid w:val="7F7F04CB"/>
    <w:rsid w:val="7FBFA86F"/>
    <w:rsid w:val="7FDA06D7"/>
    <w:rsid w:val="7FEF805A"/>
    <w:rsid w:val="7FF1A71A"/>
    <w:rsid w:val="7FFDC637"/>
    <w:rsid w:val="7FFF0877"/>
    <w:rsid w:val="938F2D80"/>
    <w:rsid w:val="97B7377F"/>
    <w:rsid w:val="A7BD66FF"/>
    <w:rsid w:val="AF7FA5DC"/>
    <w:rsid w:val="B1FBA825"/>
    <w:rsid w:val="B925FAC1"/>
    <w:rsid w:val="BA162266"/>
    <w:rsid w:val="BE37F75F"/>
    <w:rsid w:val="BFFF2752"/>
    <w:rsid w:val="CEBF1A82"/>
    <w:rsid w:val="CFDD5583"/>
    <w:rsid w:val="D93E0D19"/>
    <w:rsid w:val="DDF33542"/>
    <w:rsid w:val="DFFBB0A9"/>
    <w:rsid w:val="E32D8472"/>
    <w:rsid w:val="E7F9BB3D"/>
    <w:rsid w:val="E7FB508D"/>
    <w:rsid w:val="ECDFA842"/>
    <w:rsid w:val="EEDF4CC8"/>
    <w:rsid w:val="EFFA4893"/>
    <w:rsid w:val="F6B9D144"/>
    <w:rsid w:val="F6DC2153"/>
    <w:rsid w:val="F6DE5059"/>
    <w:rsid w:val="F77FBEC7"/>
    <w:rsid w:val="F8E4DD27"/>
    <w:rsid w:val="F9EF48EB"/>
    <w:rsid w:val="FB4F63C6"/>
    <w:rsid w:val="FBAF790D"/>
    <w:rsid w:val="FBF53893"/>
    <w:rsid w:val="FBF96D07"/>
    <w:rsid w:val="FBFB0013"/>
    <w:rsid w:val="FCD33108"/>
    <w:rsid w:val="FF7F0FDC"/>
    <w:rsid w:val="FFBBAB7F"/>
    <w:rsid w:val="FFEED247"/>
    <w:rsid w:val="FFF7D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ind w:firstLine="420" w:firstLineChars="100"/>
    </w:pPr>
  </w:style>
  <w:style w:type="paragraph" w:styleId="3">
    <w:name w:val="Body Text"/>
    <w:basedOn w:val="1"/>
    <w:next w:val="1"/>
    <w:qFormat/>
    <w:uiPriority w:val="0"/>
    <w:pPr>
      <w:tabs>
        <w:tab w:val="left" w:pos="562"/>
        <w:tab w:val="left" w:pos="3372"/>
        <w:tab w:val="left" w:pos="3653"/>
      </w:tabs>
    </w:pPr>
  </w:style>
  <w:style w:type="paragraph" w:styleId="4">
    <w:name w:val="annotation text"/>
    <w:basedOn w:val="1"/>
    <w:qFormat/>
    <w:uiPriority w:val="0"/>
    <w:pPr>
      <w:jc w:val="left"/>
    </w:pPr>
  </w:style>
  <w:style w:type="paragraph" w:styleId="5">
    <w:name w:val="Plain Text"/>
    <w:basedOn w:val="1"/>
    <w:semiHidden/>
    <w:qFormat/>
    <w:uiPriority w:val="0"/>
    <w:rPr>
      <w:rFonts w:ascii="宋体" w:hAnsi="Courier New" w:eastAsia="宋体" w:cs="Courier New"/>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2863</Words>
  <Characters>2976</Characters>
  <Lines>23</Lines>
  <Paragraphs>6</Paragraphs>
  <TotalTime>3</TotalTime>
  <ScaleCrop>false</ScaleCrop>
  <LinksUpToDate>false</LinksUpToDate>
  <CharactersWithSpaces>2982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2021-07-25T17:25:00Z</dcterms:created>
  <dc:creator>青</dc:creator>
  <cp:lastModifiedBy>95801</cp:lastModifiedBy>
  <cp:lastPrinted>2021-07-27T13:26:00Z</cp:lastPrinted>
  <dcterms:modified xsi:type="dcterms:W3CDTF">2022-09-29T08:38:55Z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0158117C9E0A458092DCF3DC90BF5B48</vt:lpwstr>
  </property>
</Properties>
</file>