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b w:val="0"/>
          <w:bCs w:val="0"/>
          <w:sz w:val="32"/>
          <w:szCs w:val="32"/>
          <w:lang w:val="en-US" w:eastAsia="zh-CN"/>
        </w:rPr>
      </w:pPr>
      <w:bookmarkStart w:id="1" w:name="_GoBack"/>
      <w:r>
        <w:rPr>
          <w:rFonts w:hint="eastAsia" w:ascii="黑体" w:hAnsi="黑体" w:eastAsia="黑体" w:cs="黑体"/>
          <w:b w:val="0"/>
          <w:bCs w:val="0"/>
          <w:sz w:val="32"/>
          <w:szCs w:val="32"/>
          <w:lang w:val="en-US" w:eastAsia="zh-CN"/>
        </w:rPr>
        <w:t>附件2</w:t>
      </w:r>
    </w:p>
    <w:p>
      <w:pPr>
        <w:keepNext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Times New Roman"/>
          <w:b/>
          <w:bCs/>
          <w:sz w:val="36"/>
          <w:szCs w:val="36"/>
        </w:rPr>
      </w:pPr>
    </w:p>
    <w:p>
      <w:pPr>
        <w:keepNext w:val="0"/>
        <w:pageBreakBefore w:val="0"/>
        <w:kinsoku/>
        <w:wordWrap/>
        <w:overflowPunct/>
        <w:topLinePunct w:val="0"/>
        <w:autoSpaceDE/>
        <w:autoSpaceDN/>
        <w:bidi w:val="0"/>
        <w:spacing w:beforeAutospacing="0" w:afterAutospacing="0" w:line="56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深圳市南科大教育培训中心研修班（科创金融主题）项目介绍</w:t>
      </w: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rPr>
      </w:pP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一、项目亮点</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（一）课程概述</w:t>
      </w:r>
    </w:p>
    <w:p>
      <w:pPr>
        <w:pStyle w:val="18"/>
        <w:keepNext w:val="0"/>
        <w:pageBreakBefore w:val="0"/>
        <w:kinsoku/>
        <w:wordWrap/>
        <w:overflowPunct/>
        <w:topLinePunct w:val="0"/>
        <w:autoSpaceDE/>
        <w:autoSpaceDN/>
        <w:bidi w:val="0"/>
        <w:spacing w:beforeAutospacing="0" w:afterAutospacing="0" w:line="560" w:lineRule="exact"/>
        <w:ind w:right="-14" w:firstLine="560"/>
        <w:jc w:val="both"/>
        <w:rPr>
          <w:rFonts w:hint="eastAsia"/>
          <w:sz w:val="32"/>
          <w:szCs w:val="32"/>
          <w:lang w:val="en-US" w:eastAsia="zh-CN"/>
        </w:rPr>
      </w:pPr>
      <w:r>
        <w:rPr>
          <w:rFonts w:hint="eastAsia" w:ascii="仿宋_GB2312" w:hAnsi="楷体" w:eastAsia="仿宋_GB2312" w:cs="Times New Roman"/>
          <w:color w:val="auto"/>
          <w:kern w:val="2"/>
          <w:sz w:val="32"/>
          <w:szCs w:val="32"/>
          <w:lang w:val="en-US" w:eastAsia="zh-CN" w:bidi="ar-SA"/>
        </w:rPr>
        <w:t>近年来，科技自主创新成为国家发展战略支撑。从国内看，我国已转向高质量发展阶段。从国际上看，新一轮科技革命和产业变革加速推进，科技创新作为核心竞争力益发成为国家之间竞争的焦点。而我国多个领域如高端芯片、基础元器件等领域存在“卡脖子”问题，需要加快自主创新步伐。科创企业属于国民经济体系中最活跃、最具创新能力的微观主体之一，更是推动经济转型升级的重要动力。科创金融的发展不仅直接关系科创企业的发展，更关系到国家创新驱动发展战略和国民经济转型能否实现。</w:t>
      </w:r>
    </w:p>
    <w:p>
      <w:pPr>
        <w:pStyle w:val="18"/>
        <w:keepNext w:val="0"/>
        <w:pageBreakBefore w:val="0"/>
        <w:kinsoku/>
        <w:wordWrap/>
        <w:overflowPunct/>
        <w:topLinePunct w:val="0"/>
        <w:autoSpaceDE/>
        <w:autoSpaceDN/>
        <w:bidi w:val="0"/>
        <w:spacing w:beforeAutospacing="0" w:afterAutospacing="0" w:line="560" w:lineRule="exact"/>
        <w:ind w:right="-14" w:firstLine="560"/>
        <w:jc w:val="both"/>
        <w:rPr>
          <w:rFonts w:hint="eastAsia" w:ascii="仿宋_GB2312" w:hAnsi="楷体" w:eastAsia="仿宋_GB2312" w:cs="Times New Roman"/>
          <w:color w:val="auto"/>
          <w:kern w:val="2"/>
          <w:sz w:val="32"/>
          <w:szCs w:val="32"/>
          <w:lang w:val="en-US" w:eastAsia="zh-CN" w:bidi="ar-SA"/>
        </w:rPr>
      </w:pPr>
      <w:r>
        <w:rPr>
          <w:rFonts w:hint="eastAsia" w:ascii="仿宋_GB2312" w:hAnsi="楷体" w:eastAsia="仿宋_GB2312" w:cs="Times New Roman"/>
          <w:color w:val="auto"/>
          <w:kern w:val="2"/>
          <w:sz w:val="32"/>
          <w:szCs w:val="32"/>
          <w:lang w:val="en-US" w:eastAsia="zh-CN" w:bidi="ar-SA"/>
        </w:rPr>
        <w:t>深圳南科大教育培训中心科创金融专题研修班旨在通过对借鉴全球各行业领域标杆企业的相关先进经验，对产业金融、科创企业发展潜力的新发展、新格局做深度剖析。</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lang w:val="en-US" w:eastAsia="zh-CN"/>
        </w:rPr>
      </w:pPr>
      <w:r>
        <w:rPr>
          <w:rFonts w:hint="eastAsia" w:ascii="楷体_GB2312" w:hAnsi="楷体_GB2312" w:eastAsia="楷体_GB2312" w:cs="楷体_GB2312"/>
          <w:b w:val="0"/>
          <w:bCs w:val="0"/>
          <w:sz w:val="32"/>
          <w:szCs w:val="32"/>
          <w:lang w:val="en-US" w:eastAsia="zh-CN"/>
        </w:rPr>
        <w:t>（二）课程目标</w:t>
      </w:r>
    </w:p>
    <w:p>
      <w:pPr>
        <w:pStyle w:val="18"/>
        <w:keepNext w:val="0"/>
        <w:pageBreakBefore w:val="0"/>
        <w:kinsoku/>
        <w:wordWrap/>
        <w:overflowPunct/>
        <w:topLinePunct w:val="0"/>
        <w:autoSpaceDE/>
        <w:autoSpaceDN/>
        <w:bidi w:val="0"/>
        <w:spacing w:beforeAutospacing="0" w:afterAutospacing="0" w:line="560" w:lineRule="exact"/>
        <w:ind w:right="-14" w:firstLine="560"/>
        <w:jc w:val="both"/>
        <w:rPr>
          <w:rFonts w:hint="eastAsia" w:ascii="仿宋_GB2312" w:hAnsi="楷体" w:eastAsia="仿宋_GB2312" w:cs="Times New Roman"/>
          <w:color w:val="auto"/>
          <w:kern w:val="2"/>
          <w:sz w:val="32"/>
          <w:szCs w:val="32"/>
          <w:lang w:val="en-US" w:eastAsia="zh-CN" w:bidi="ar-SA"/>
        </w:rPr>
      </w:pPr>
      <w:r>
        <w:rPr>
          <w:rFonts w:hint="eastAsia" w:ascii="仿宋_GB2312" w:hAnsi="楷体" w:eastAsia="仿宋_GB2312" w:cs="Times New Roman"/>
          <w:color w:val="auto"/>
          <w:kern w:val="2"/>
          <w:sz w:val="32"/>
          <w:szCs w:val="32"/>
          <w:lang w:val="en-US" w:eastAsia="zh-CN" w:bidi="ar-SA"/>
        </w:rPr>
        <w:t>培训采用“理论+实践”“讲座+研学”的方式，围绕“募、投、管、退”全生命周期的科创金融生态体系，聚焦主流科学技术发展、科创金融、科技产业布局、科技企业量化评估方法等新知识新技能学习，加深学员对科创金融的认识和理解，提升提高学员在各专业领域的实战能力，进一步推动“科创金融”的体系建设。</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（三）课程亮点</w:t>
      </w:r>
    </w:p>
    <w:p>
      <w:pPr>
        <w:keepNext w:val="0"/>
        <w:pageBreakBefore w:val="0"/>
        <w:kinsoku/>
        <w:wordWrap/>
        <w:overflowPunct/>
        <w:topLinePunct w:val="0"/>
        <w:autoSpaceDE/>
        <w:autoSpaceDN/>
        <w:bidi w:val="0"/>
        <w:spacing w:beforeAutospacing="0" w:afterAutospacing="0" w:line="560" w:lineRule="exact"/>
        <w:ind w:left="1" w:firstLine="562" w:firstLineChars="200"/>
        <w:rPr>
          <w:rFonts w:hint="eastAsia" w:ascii="仿宋_GB2312" w:hAnsi="楷体" w:eastAsia="仿宋_GB2312" w:cs="Times New Roman"/>
          <w:sz w:val="28"/>
          <w:szCs w:val="28"/>
          <w:lang w:val="en-US" w:eastAsia="zh-CN"/>
        </w:rPr>
      </w:pPr>
      <w:r>
        <w:rPr>
          <w:rFonts w:hint="eastAsia" w:ascii="仿宋_GB2312" w:hAnsi="楷体" w:eastAsia="仿宋_GB2312" w:cs="Times New Roman"/>
          <w:b/>
          <w:bCs/>
          <w:sz w:val="28"/>
          <w:szCs w:val="28"/>
          <w:lang w:val="en-US" w:eastAsia="zh-CN"/>
        </w:rPr>
        <w:t>国际化创新型大学：</w:t>
      </w:r>
      <w:r>
        <w:rPr>
          <w:rFonts w:hint="eastAsia" w:ascii="仿宋_GB2312" w:hAnsi="楷体" w:eastAsia="仿宋_GB2312" w:cs="Times New Roman"/>
          <w:b w:val="0"/>
          <w:bCs w:val="0"/>
          <w:sz w:val="28"/>
          <w:szCs w:val="28"/>
          <w:lang w:val="en-US" w:eastAsia="zh-CN"/>
        </w:rPr>
        <w:t>南方科技大学学术实力和业界经验为基础</w:t>
      </w:r>
      <w:r>
        <w:rPr>
          <w:rFonts w:hint="eastAsia" w:ascii="仿宋_GB2312" w:hAnsi="楷体" w:eastAsia="仿宋_GB2312" w:cs="Times New Roman"/>
          <w:sz w:val="28"/>
          <w:szCs w:val="28"/>
          <w:lang w:val="en-US" w:eastAsia="zh-CN"/>
        </w:rPr>
        <w:t>；</w:t>
      </w:r>
    </w:p>
    <w:p>
      <w:pPr>
        <w:keepNext w:val="0"/>
        <w:pageBreakBefore w:val="0"/>
        <w:kinsoku/>
        <w:wordWrap/>
        <w:overflowPunct/>
        <w:topLinePunct w:val="0"/>
        <w:autoSpaceDE/>
        <w:autoSpaceDN/>
        <w:bidi w:val="0"/>
        <w:spacing w:beforeAutospacing="0" w:afterAutospacing="0" w:line="560" w:lineRule="exact"/>
        <w:ind w:left="1" w:firstLine="562" w:firstLineChars="200"/>
        <w:rPr>
          <w:rFonts w:hint="eastAsia" w:ascii="仿宋_GB2312" w:hAnsi="楷体" w:eastAsia="仿宋_GB2312" w:cs="Times New Roman"/>
          <w:sz w:val="28"/>
          <w:szCs w:val="28"/>
          <w:lang w:val="en-US" w:eastAsia="zh-CN"/>
        </w:rPr>
      </w:pPr>
      <w:r>
        <w:rPr>
          <w:rFonts w:hint="eastAsia" w:ascii="仿宋_GB2312" w:hAnsi="楷体" w:eastAsia="仿宋_GB2312" w:cs="Times New Roman"/>
          <w:b/>
          <w:bCs/>
          <w:sz w:val="28"/>
          <w:szCs w:val="28"/>
          <w:lang w:val="en-US" w:eastAsia="zh-CN"/>
        </w:rPr>
        <w:t>跨界交流：</w:t>
      </w:r>
      <w:r>
        <w:rPr>
          <w:rFonts w:hint="eastAsia" w:ascii="仿宋_GB2312" w:hAnsi="楷体" w:eastAsia="仿宋_GB2312" w:cs="Times New Roman"/>
          <w:sz w:val="28"/>
          <w:szCs w:val="28"/>
          <w:lang w:val="en-US" w:eastAsia="zh-CN"/>
        </w:rPr>
        <w:t>案例研讨，嘉宾对话，学术讲座，企业走访；</w:t>
      </w:r>
    </w:p>
    <w:p>
      <w:pPr>
        <w:pStyle w:val="2"/>
        <w:keepNext w:val="0"/>
        <w:pageBreakBefore w:val="0"/>
        <w:numPr>
          <w:ilvl w:val="0"/>
          <w:numId w:val="0"/>
        </w:numPr>
        <w:kinsoku/>
        <w:wordWrap/>
        <w:overflowPunct/>
        <w:topLinePunct w:val="0"/>
        <w:autoSpaceDE/>
        <w:autoSpaceDN/>
        <w:bidi w:val="0"/>
        <w:spacing w:beforeLines="0" w:beforeAutospacing="0" w:afterLines="0" w:afterAutospacing="0" w:line="560" w:lineRule="exact"/>
        <w:ind w:firstLine="562" w:firstLineChars="200"/>
        <w:rPr>
          <w:rFonts w:hint="default"/>
          <w:color w:val="auto"/>
          <w:lang w:val="en-US" w:eastAsia="zh-CN"/>
        </w:rPr>
      </w:pPr>
      <w:r>
        <w:rPr>
          <w:rFonts w:hint="eastAsia" w:ascii="仿宋_GB2312" w:hAnsi="楷体" w:eastAsia="仿宋_GB2312" w:cs="Times New Roman"/>
          <w:b/>
          <w:bCs/>
          <w:color w:val="auto"/>
          <w:sz w:val="28"/>
          <w:szCs w:val="28"/>
          <w:lang w:val="en-US" w:eastAsia="zh-CN"/>
        </w:rPr>
        <w:t>多元金融：</w:t>
      </w:r>
      <w:r>
        <w:rPr>
          <w:rFonts w:hint="eastAsia" w:ascii="仿宋_GB2312" w:hAnsi="楷体" w:eastAsia="仿宋_GB2312" w:cs="Times New Roman"/>
          <w:b w:val="0"/>
          <w:bCs w:val="0"/>
          <w:color w:val="auto"/>
          <w:sz w:val="28"/>
          <w:szCs w:val="28"/>
          <w:lang w:val="en-US" w:eastAsia="zh-CN"/>
        </w:rPr>
        <w:t>资产，市场，调控与监管，金融机构，金融发展；</w:t>
      </w:r>
    </w:p>
    <w:p>
      <w:pPr>
        <w:keepNext w:val="0"/>
        <w:pageBreakBefore w:val="0"/>
        <w:kinsoku/>
        <w:wordWrap/>
        <w:overflowPunct/>
        <w:topLinePunct w:val="0"/>
        <w:autoSpaceDE/>
        <w:autoSpaceDN/>
        <w:bidi w:val="0"/>
        <w:spacing w:beforeAutospacing="0" w:afterAutospacing="0" w:line="560" w:lineRule="exact"/>
        <w:ind w:left="1" w:firstLine="562" w:firstLineChars="200"/>
        <w:rPr>
          <w:rFonts w:hint="eastAsia" w:ascii="仿宋_GB2312" w:hAnsi="楷体" w:eastAsia="仿宋_GB2312" w:cs="Times New Roman"/>
          <w:sz w:val="28"/>
          <w:szCs w:val="28"/>
          <w:lang w:val="en-US" w:eastAsia="zh-CN"/>
        </w:rPr>
      </w:pPr>
      <w:r>
        <w:rPr>
          <w:rFonts w:hint="eastAsia" w:ascii="仿宋_GB2312" w:hAnsi="楷体" w:eastAsia="仿宋_GB2312" w:cs="Times New Roman"/>
          <w:b/>
          <w:bCs/>
          <w:sz w:val="28"/>
          <w:szCs w:val="28"/>
          <w:lang w:val="en-US" w:eastAsia="zh-CN"/>
        </w:rPr>
        <w:t>学习平台：</w:t>
      </w:r>
      <w:r>
        <w:rPr>
          <w:rFonts w:hint="eastAsia" w:ascii="仿宋_GB2312" w:hAnsi="楷体" w:eastAsia="仿宋_GB2312" w:cs="Times New Roman"/>
          <w:b w:val="0"/>
          <w:bCs w:val="0"/>
          <w:sz w:val="28"/>
          <w:szCs w:val="28"/>
          <w:lang w:val="en-US" w:eastAsia="zh-CN"/>
        </w:rPr>
        <w:t>丰富</w:t>
      </w:r>
      <w:r>
        <w:rPr>
          <w:rFonts w:hint="eastAsia" w:ascii="仿宋_GB2312" w:hAnsi="楷体" w:eastAsia="仿宋_GB2312" w:cs="Times New Roman"/>
          <w:sz w:val="28"/>
          <w:szCs w:val="28"/>
          <w:lang w:val="en-US" w:eastAsia="zh-CN"/>
        </w:rPr>
        <w:t>的学校资源，提供长期学习交流平台。</w:t>
      </w:r>
    </w:p>
    <w:p>
      <w:pPr>
        <w:keepNext w:val="0"/>
        <w:pageBreakBefore w:val="0"/>
        <w:numPr>
          <w:ilvl w:val="0"/>
          <w:numId w:val="2"/>
        </w:numPr>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课程设置及师资介绍</w:t>
      </w:r>
    </w:p>
    <w:p>
      <w:pPr>
        <w:pStyle w:val="2"/>
        <w:keepNext w:val="0"/>
        <w:pageBreakBefore w:val="0"/>
        <w:numPr>
          <w:ilvl w:val="0"/>
          <w:numId w:val="0"/>
        </w:numPr>
        <w:kinsoku/>
        <w:wordWrap/>
        <w:overflowPunct/>
        <w:topLinePunct w:val="0"/>
        <w:autoSpaceDE/>
        <w:autoSpaceDN/>
        <w:bidi w:val="0"/>
        <w:spacing w:beforeLines="0" w:beforeAutospacing="0" w:afterLines="0" w:afterAutospacing="0" w:line="560" w:lineRule="exact"/>
        <w:ind w:leftChars="0"/>
        <w:rPr>
          <w:rFonts w:hint="eastAsia" w:ascii="黑体" w:hAnsi="黑体" w:eastAsia="黑体" w:cs="Times New Roman"/>
          <w:b w:val="0"/>
          <w:bCs w:val="0"/>
          <w:sz w:val="32"/>
          <w:szCs w:val="32"/>
        </w:rPr>
      </w:pPr>
    </w:p>
    <w:tbl>
      <w:tblPr>
        <w:tblStyle w:val="8"/>
        <w:tblW w:w="11115" w:type="dxa"/>
        <w:jc w:val="center"/>
        <w:tblLayout w:type="autofit"/>
        <w:tblCellMar>
          <w:top w:w="0" w:type="dxa"/>
          <w:left w:w="108" w:type="dxa"/>
          <w:bottom w:w="0" w:type="dxa"/>
          <w:right w:w="108" w:type="dxa"/>
        </w:tblCellMar>
      </w:tblPr>
      <w:tblGrid>
        <w:gridCol w:w="930"/>
        <w:gridCol w:w="2000"/>
        <w:gridCol w:w="4016"/>
        <w:gridCol w:w="4169"/>
      </w:tblGrid>
      <w:tr>
        <w:tblPrEx>
          <w:tblCellMar>
            <w:top w:w="0" w:type="dxa"/>
            <w:left w:w="108" w:type="dxa"/>
            <w:bottom w:w="0" w:type="dxa"/>
            <w:right w:w="108" w:type="dxa"/>
          </w:tblCellMar>
        </w:tblPrEx>
        <w:trPr>
          <w:trHeight w:val="636"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授课形式</w:t>
            </w:r>
          </w:p>
        </w:tc>
        <w:tc>
          <w:tcPr>
            <w:tcW w:w="4016"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课程名称</w:t>
            </w:r>
          </w:p>
        </w:tc>
        <w:tc>
          <w:tcPr>
            <w:tcW w:w="4169"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师资介绍</w:t>
            </w:r>
          </w:p>
        </w:tc>
      </w:tr>
      <w:tr>
        <w:tblPrEx>
          <w:tblCellMar>
            <w:top w:w="0" w:type="dxa"/>
            <w:left w:w="108" w:type="dxa"/>
            <w:bottom w:w="0" w:type="dxa"/>
            <w:right w:w="108" w:type="dxa"/>
          </w:tblCellMar>
        </w:tblPrEx>
        <w:trPr>
          <w:trHeight w:val="636" w:hRule="atLeast"/>
          <w:jc w:val="center"/>
        </w:trPr>
        <w:tc>
          <w:tcPr>
            <w:tcW w:w="930" w:type="dxa"/>
            <w:vMerge w:val="restart"/>
            <w:tcBorders>
              <w:top w:val="single" w:color="auto" w:sz="4" w:space="0"/>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000" w:type="dxa"/>
            <w:vMerge w:val="restart"/>
            <w:tcBorders>
              <w:top w:val="single" w:color="auto" w:sz="4" w:space="0"/>
              <w:left w:val="nil"/>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主题讲座</w:t>
            </w:r>
          </w:p>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暨科创金融研究启动会</w:t>
            </w:r>
          </w:p>
        </w:tc>
        <w:tc>
          <w:tcPr>
            <w:tcW w:w="4016"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lang w:val="en-US" w:eastAsia="zh-CN"/>
              </w:rPr>
            </w:pPr>
            <w:r>
              <w:rPr>
                <w:rFonts w:hint="eastAsia" w:ascii="仿宋" w:hAnsi="仿宋" w:eastAsia="仿宋" w:cs="仿宋"/>
                <w:color w:val="000000"/>
                <w:kern w:val="0"/>
                <w:sz w:val="24"/>
                <w:szCs w:val="24"/>
                <w:lang w:val="en-US" w:eastAsia="zh-CN"/>
              </w:rPr>
              <w:t>全球科创金融现状及发展趋势，</w:t>
            </w:r>
            <w:r>
              <w:rPr>
                <w:rFonts w:hint="eastAsia" w:ascii="仿宋" w:hAnsi="仿宋" w:eastAsia="仿宋" w:cs="仿宋"/>
                <w:color w:val="000000"/>
                <w:kern w:val="0"/>
                <w:sz w:val="24"/>
                <w:szCs w:val="24"/>
              </w:rPr>
              <w:t>深圳打造风投创投中心</w:t>
            </w:r>
          </w:p>
        </w:tc>
        <w:tc>
          <w:tcPr>
            <w:tcW w:w="4169"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深圳市金融局领导</w:t>
            </w:r>
          </w:p>
        </w:tc>
      </w:tr>
      <w:tr>
        <w:tblPrEx>
          <w:tblCellMar>
            <w:top w:w="0" w:type="dxa"/>
            <w:left w:w="108" w:type="dxa"/>
            <w:bottom w:w="0" w:type="dxa"/>
            <w:right w:w="108" w:type="dxa"/>
          </w:tblCellMar>
        </w:tblPrEx>
        <w:trPr>
          <w:trHeight w:val="636" w:hRule="atLeast"/>
          <w:jc w:val="center"/>
        </w:trPr>
        <w:tc>
          <w:tcPr>
            <w:tcW w:w="930"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p>
        </w:tc>
        <w:tc>
          <w:tcPr>
            <w:tcW w:w="2000" w:type="dxa"/>
            <w:vMerge w:val="continue"/>
            <w:tcBorders>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p>
        </w:tc>
        <w:tc>
          <w:tcPr>
            <w:tcW w:w="4016"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科创企业投资评估逻辑及模型</w:t>
            </w:r>
          </w:p>
        </w:tc>
        <w:tc>
          <w:tcPr>
            <w:tcW w:w="4169"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王树勋：南方科技大学金融系主任、讲席教授</w:t>
            </w:r>
          </w:p>
        </w:tc>
      </w:tr>
      <w:tr>
        <w:tblPrEx>
          <w:tblCellMar>
            <w:top w:w="0" w:type="dxa"/>
            <w:left w:w="108" w:type="dxa"/>
            <w:bottom w:w="0" w:type="dxa"/>
            <w:right w:w="108" w:type="dxa"/>
          </w:tblCellMar>
        </w:tblPrEx>
        <w:trPr>
          <w:trHeight w:val="636"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主题讲座</w:t>
            </w:r>
          </w:p>
        </w:tc>
        <w:tc>
          <w:tcPr>
            <w:tcW w:w="4016"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大湾区产业规划与产业引导基金</w:t>
            </w:r>
          </w:p>
        </w:tc>
        <w:tc>
          <w:tcPr>
            <w:tcW w:w="4169"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深创投、福田引导基金</w:t>
            </w:r>
          </w:p>
        </w:tc>
      </w:tr>
      <w:tr>
        <w:tblPrEx>
          <w:tblCellMar>
            <w:top w:w="0" w:type="dxa"/>
            <w:left w:w="108" w:type="dxa"/>
            <w:bottom w:w="0" w:type="dxa"/>
            <w:right w:w="108" w:type="dxa"/>
          </w:tblCellMar>
        </w:tblPrEx>
        <w:trPr>
          <w:trHeight w:val="59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000"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主题讲座</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rPr>
            </w:pPr>
            <w:r>
              <w:rPr>
                <w:rFonts w:hint="eastAsia" w:ascii="仿宋" w:hAnsi="仿宋" w:eastAsia="仿宋" w:cs="仿宋"/>
                <w:color w:val="191919"/>
                <w:kern w:val="0"/>
                <w:sz w:val="24"/>
                <w:szCs w:val="24"/>
                <w:lang w:val="en-US" w:eastAsia="zh-CN"/>
              </w:rPr>
              <w:t>科创企业的融资和贷款担保（募）</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王焕然：中国特许金融分析师（CFA）协会副理事长</w:t>
            </w:r>
          </w:p>
        </w:tc>
      </w:tr>
      <w:tr>
        <w:tblPrEx>
          <w:tblCellMar>
            <w:top w:w="0" w:type="dxa"/>
            <w:left w:w="108" w:type="dxa"/>
            <w:bottom w:w="0" w:type="dxa"/>
            <w:right w:w="108" w:type="dxa"/>
          </w:tblCellMar>
        </w:tblPrEx>
        <w:trPr>
          <w:trHeight w:val="59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000"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主题讲座</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rPr>
              <w:t>科创金融机构的投资逻辑</w:t>
            </w:r>
            <w:r>
              <w:rPr>
                <w:rFonts w:hint="eastAsia" w:ascii="仿宋" w:hAnsi="仿宋" w:eastAsia="仿宋" w:cs="仿宋"/>
                <w:color w:val="191919"/>
                <w:kern w:val="0"/>
                <w:sz w:val="24"/>
                <w:szCs w:val="24"/>
                <w:lang w:eastAsia="zh-CN"/>
              </w:rPr>
              <w:t>（</w:t>
            </w:r>
            <w:r>
              <w:rPr>
                <w:rFonts w:hint="eastAsia" w:ascii="仿宋" w:hAnsi="仿宋" w:eastAsia="仿宋" w:cs="仿宋"/>
                <w:color w:val="191919"/>
                <w:kern w:val="0"/>
                <w:sz w:val="24"/>
                <w:szCs w:val="24"/>
                <w:lang w:val="en-US" w:eastAsia="zh-CN"/>
              </w:rPr>
              <w:t>投）</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000000"/>
                <w:kern w:val="0"/>
                <w:sz w:val="24"/>
                <w:szCs w:val="24"/>
                <w:lang w:val="en-US" w:eastAsia="zh-CN" w:bidi="ar-SA"/>
              </w:rPr>
              <w:t>松禾资本、鲁信创投</w:t>
            </w:r>
          </w:p>
        </w:tc>
      </w:tr>
      <w:tr>
        <w:tblPrEx>
          <w:tblCellMar>
            <w:top w:w="0" w:type="dxa"/>
            <w:left w:w="108" w:type="dxa"/>
            <w:bottom w:w="0" w:type="dxa"/>
            <w:right w:w="108" w:type="dxa"/>
          </w:tblCellMar>
        </w:tblPrEx>
        <w:trPr>
          <w:trHeight w:val="59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000"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主题讲座</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科创</w:t>
            </w:r>
            <w:r>
              <w:rPr>
                <w:rFonts w:hint="eastAsia" w:ascii="仿宋" w:hAnsi="仿宋" w:eastAsia="仿宋" w:cs="仿宋"/>
                <w:color w:val="000000"/>
                <w:kern w:val="0"/>
                <w:sz w:val="24"/>
                <w:szCs w:val="24"/>
                <w:lang w:val="en-US" w:eastAsia="zh-CN"/>
              </w:rPr>
              <w:t>企业的投后管理与扶持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管）</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lang w:val="en-US" w:eastAsia="zh-CN" w:bidi="ar-SA"/>
              </w:rPr>
              <w:t>东方富海、创东方</w:t>
            </w:r>
          </w:p>
        </w:tc>
      </w:tr>
      <w:tr>
        <w:tblPrEx>
          <w:tblCellMar>
            <w:top w:w="0" w:type="dxa"/>
            <w:left w:w="108" w:type="dxa"/>
            <w:bottom w:w="0" w:type="dxa"/>
            <w:right w:w="108" w:type="dxa"/>
          </w:tblCellMar>
        </w:tblPrEx>
        <w:trPr>
          <w:trHeight w:val="59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000"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主题讲座</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eastAsia="仿宋" w:asciiTheme="minorHAnsi" w:hAnsiTheme="minorHAnsi" w:cstheme="minorBidi"/>
                <w:kern w:val="2"/>
                <w:sz w:val="21"/>
                <w:szCs w:val="22"/>
                <w:lang w:val="en-US" w:eastAsia="zh-CN" w:bidi="ar-SA"/>
              </w:rPr>
            </w:pPr>
            <w:r>
              <w:rPr>
                <w:rFonts w:hint="eastAsia" w:ascii="仿宋" w:hAnsi="仿宋" w:eastAsia="仿宋" w:cs="仿宋"/>
                <w:color w:val="000000"/>
                <w:kern w:val="0"/>
                <w:sz w:val="24"/>
                <w:szCs w:val="24"/>
                <w:lang w:val="en-US" w:eastAsia="zh-CN"/>
              </w:rPr>
              <w:t>科创企业上市和并购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退）</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深交所、北交所、并购协会</w:t>
            </w:r>
          </w:p>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p>
        </w:tc>
      </w:tr>
      <w:tr>
        <w:tblPrEx>
          <w:tblCellMar>
            <w:top w:w="0" w:type="dxa"/>
            <w:left w:w="108" w:type="dxa"/>
            <w:bottom w:w="0" w:type="dxa"/>
            <w:right w:w="108" w:type="dxa"/>
          </w:tblCellMar>
        </w:tblPrEx>
        <w:trPr>
          <w:trHeight w:val="56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000"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圆桌论坛</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科创金融机构联动方式与案例</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lang w:val="en-US" w:eastAsia="zh-CN" w:bidi="ar-SA"/>
              </w:rPr>
              <w:t>VC、PE、上市、银行专家</w:t>
            </w:r>
          </w:p>
        </w:tc>
      </w:tr>
      <w:tr>
        <w:tblPrEx>
          <w:tblCellMar>
            <w:top w:w="0" w:type="dxa"/>
            <w:left w:w="108" w:type="dxa"/>
            <w:bottom w:w="0" w:type="dxa"/>
            <w:right w:w="108" w:type="dxa"/>
          </w:tblCellMar>
        </w:tblPrEx>
        <w:trPr>
          <w:trHeight w:val="761" w:hRule="atLeast"/>
          <w:jc w:val="center"/>
        </w:trPr>
        <w:tc>
          <w:tcPr>
            <w:tcW w:w="930" w:type="dxa"/>
            <w:vMerge w:val="restart"/>
            <w:tcBorders>
              <w:top w:val="nil"/>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2000" w:type="dxa"/>
            <w:vMerge w:val="restart"/>
            <w:tcBorders>
              <w:top w:val="nil"/>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企业参访</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生物医药前沿技术分享（企业参访）</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张绪穆：南方科技大学讲席教授、院士</w:t>
            </w:r>
          </w:p>
        </w:tc>
      </w:tr>
      <w:tr>
        <w:tblPrEx>
          <w:tblCellMar>
            <w:top w:w="0" w:type="dxa"/>
            <w:left w:w="108" w:type="dxa"/>
            <w:bottom w:w="0" w:type="dxa"/>
            <w:right w:w="108" w:type="dxa"/>
          </w:tblCellMar>
        </w:tblPrEx>
        <w:trPr>
          <w:trHeight w:val="567" w:hRule="atLeast"/>
          <w:jc w:val="center"/>
        </w:trPr>
        <w:tc>
          <w:tcPr>
            <w:tcW w:w="930" w:type="dxa"/>
            <w:vMerge w:val="restart"/>
            <w:tcBorders>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9</w:t>
            </w:r>
          </w:p>
        </w:tc>
        <w:tc>
          <w:tcPr>
            <w:tcW w:w="2000" w:type="dxa"/>
            <w:vMerge w:val="restart"/>
            <w:tcBorders>
              <w:left w:val="single" w:color="auto" w:sz="4" w:space="0"/>
              <w:right w:val="single" w:color="auto" w:sz="4" w:space="0"/>
            </w:tcBorders>
            <w:shd w:val="clear" w:color="auto" w:fill="auto"/>
            <w:vAlign w:val="top"/>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前沿科技与</w:t>
            </w:r>
          </w:p>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投资案例</w:t>
            </w:r>
          </w:p>
        </w:tc>
        <w:tc>
          <w:tcPr>
            <w:tcW w:w="4016" w:type="dxa"/>
            <w:tcBorders>
              <w:top w:val="nil"/>
              <w:left w:val="nil"/>
              <w:bottom w:val="single" w:color="auto"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人工智能和智能制造</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潘毅：深圳理工大学（筹）计算机科学与控制工程学院院长、美国医学与生物工程院院士</w:t>
            </w:r>
          </w:p>
        </w:tc>
      </w:tr>
      <w:tr>
        <w:tblPrEx>
          <w:tblCellMar>
            <w:top w:w="0" w:type="dxa"/>
            <w:left w:w="108" w:type="dxa"/>
            <w:bottom w:w="0" w:type="dxa"/>
            <w:right w:w="108" w:type="dxa"/>
          </w:tblCellMar>
        </w:tblPrEx>
        <w:trPr>
          <w:trHeight w:val="567" w:hRule="atLeast"/>
          <w:jc w:val="center"/>
        </w:trPr>
        <w:tc>
          <w:tcPr>
            <w:tcW w:w="930"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p>
        </w:tc>
        <w:tc>
          <w:tcPr>
            <w:tcW w:w="2000" w:type="dxa"/>
            <w:vMerge w:val="continue"/>
            <w:tcBorders>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人工智能投资经验与案例分享</w:t>
            </w:r>
          </w:p>
        </w:tc>
        <w:tc>
          <w:tcPr>
            <w:tcW w:w="4169"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auto"/>
                <w:sz w:val="24"/>
                <w:szCs w:val="24"/>
                <w:lang w:eastAsia="zh-CN"/>
              </w:rPr>
              <w:t>高新投、</w:t>
            </w:r>
            <w:r>
              <w:rPr>
                <w:rFonts w:hint="eastAsia" w:ascii="仿宋" w:hAnsi="仿宋" w:eastAsia="仿宋" w:cs="仿宋"/>
                <w:color w:val="auto"/>
                <w:sz w:val="24"/>
                <w:szCs w:val="24"/>
                <w:lang w:val="en-US" w:eastAsia="zh-CN"/>
              </w:rPr>
              <w:t>分享投资</w:t>
            </w:r>
          </w:p>
        </w:tc>
      </w:tr>
      <w:tr>
        <w:tblPrEx>
          <w:tblCellMar>
            <w:top w:w="0" w:type="dxa"/>
            <w:left w:w="108" w:type="dxa"/>
            <w:bottom w:w="0" w:type="dxa"/>
            <w:right w:w="108" w:type="dxa"/>
          </w:tblCellMar>
        </w:tblPrEx>
        <w:trPr>
          <w:trHeight w:val="567" w:hRule="atLeast"/>
          <w:jc w:val="center"/>
        </w:trPr>
        <w:tc>
          <w:tcPr>
            <w:tcW w:w="930" w:type="dxa"/>
            <w:vMerge w:val="restart"/>
            <w:tcBorders>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w:t>
            </w:r>
          </w:p>
        </w:tc>
        <w:tc>
          <w:tcPr>
            <w:tcW w:w="2000" w:type="dxa"/>
            <w:vMerge w:val="restart"/>
            <w:tcBorders>
              <w:left w:val="single" w:color="auto" w:sz="4" w:space="0"/>
              <w:right w:val="single" w:color="auto" w:sz="4" w:space="0"/>
            </w:tcBorders>
            <w:shd w:val="clear" w:color="auto" w:fill="auto"/>
            <w:vAlign w:val="top"/>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前沿科技与</w:t>
            </w:r>
          </w:p>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bCs/>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投资案例</w:t>
            </w: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rPr>
              <w:t>新能源行业发展</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rPr>
              <w:t>刘科</w:t>
            </w:r>
            <w:r>
              <w:rPr>
                <w:rFonts w:hint="eastAsia" w:ascii="仿宋" w:hAnsi="仿宋" w:eastAsia="仿宋" w:cs="仿宋"/>
                <w:color w:val="191919"/>
                <w:kern w:val="0"/>
                <w:sz w:val="24"/>
                <w:szCs w:val="24"/>
                <w:lang w:eastAsia="zh-CN"/>
              </w:rPr>
              <w:t>：</w:t>
            </w:r>
            <w:r>
              <w:rPr>
                <w:rFonts w:hint="eastAsia" w:ascii="仿宋" w:hAnsi="仿宋" w:eastAsia="仿宋" w:cs="仿宋"/>
                <w:color w:val="191919"/>
                <w:kern w:val="0"/>
                <w:sz w:val="24"/>
                <w:szCs w:val="24"/>
                <w:lang w:val="en-US" w:eastAsia="zh-CN"/>
              </w:rPr>
              <w:t>南方科技大学创新创业学院院长、</w:t>
            </w:r>
            <w:r>
              <w:rPr>
                <w:rFonts w:hint="eastAsia" w:ascii="仿宋" w:hAnsi="仿宋" w:eastAsia="仿宋" w:cs="仿宋"/>
                <w:color w:val="191919"/>
                <w:kern w:val="0"/>
                <w:sz w:val="24"/>
                <w:szCs w:val="24"/>
                <w:lang w:eastAsia="zh-CN"/>
              </w:rPr>
              <w:t>澳大利亚国家工程院外籍院士</w:t>
            </w:r>
          </w:p>
        </w:tc>
      </w:tr>
      <w:tr>
        <w:tblPrEx>
          <w:tblCellMar>
            <w:top w:w="0" w:type="dxa"/>
            <w:left w:w="108" w:type="dxa"/>
            <w:bottom w:w="0" w:type="dxa"/>
            <w:right w:w="108" w:type="dxa"/>
          </w:tblCellMar>
        </w:tblPrEx>
        <w:trPr>
          <w:trHeight w:val="567" w:hRule="atLeast"/>
          <w:jc w:val="center"/>
        </w:trPr>
        <w:tc>
          <w:tcPr>
            <w:tcW w:w="930"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p>
        </w:tc>
        <w:tc>
          <w:tcPr>
            <w:tcW w:w="2000" w:type="dxa"/>
            <w:vMerge w:val="continue"/>
            <w:tcBorders>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rPr>
              <w:t>新能源投资经验与案例分享</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易方达</w:t>
            </w:r>
            <w:r>
              <w:rPr>
                <w:rFonts w:hint="eastAsia" w:ascii="仿宋" w:hAnsi="仿宋" w:eastAsia="仿宋" w:cs="仿宋"/>
                <w:color w:val="000000"/>
                <w:kern w:val="0"/>
                <w:sz w:val="24"/>
                <w:szCs w:val="24"/>
                <w:lang w:val="en-US" w:eastAsia="zh-CN" w:bidi="ar-SA"/>
              </w:rPr>
              <w:t>、招商局资本</w:t>
            </w:r>
          </w:p>
        </w:tc>
      </w:tr>
      <w:tr>
        <w:tblPrEx>
          <w:tblCellMar>
            <w:top w:w="0" w:type="dxa"/>
            <w:left w:w="108" w:type="dxa"/>
            <w:bottom w:w="0" w:type="dxa"/>
            <w:right w:w="108" w:type="dxa"/>
          </w:tblCellMar>
        </w:tblPrEx>
        <w:trPr>
          <w:trHeight w:val="567" w:hRule="atLeast"/>
          <w:jc w:val="center"/>
        </w:trPr>
        <w:tc>
          <w:tcPr>
            <w:tcW w:w="930" w:type="dxa"/>
            <w:vMerge w:val="restart"/>
            <w:tcBorders>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11</w:t>
            </w:r>
          </w:p>
        </w:tc>
        <w:tc>
          <w:tcPr>
            <w:tcW w:w="2000" w:type="dxa"/>
            <w:vMerge w:val="restart"/>
            <w:tcBorders>
              <w:left w:val="single" w:color="auto" w:sz="4" w:space="0"/>
              <w:right w:val="single" w:color="auto" w:sz="4" w:space="0"/>
            </w:tcBorders>
            <w:shd w:val="clear" w:color="auto" w:fill="auto"/>
            <w:vAlign w:val="top"/>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主题讲座与</w:t>
            </w:r>
          </w:p>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案例分享</w:t>
            </w:r>
          </w:p>
        </w:tc>
        <w:tc>
          <w:tcPr>
            <w:tcW w:w="4016" w:type="dxa"/>
            <w:tcBorders>
              <w:top w:val="nil"/>
              <w:left w:val="nil"/>
              <w:bottom w:val="single" w:color="auto"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知识产权布局和证券化</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安盾网、高新投</w:t>
            </w:r>
          </w:p>
        </w:tc>
      </w:tr>
      <w:tr>
        <w:tblPrEx>
          <w:tblCellMar>
            <w:top w:w="0" w:type="dxa"/>
            <w:left w:w="108" w:type="dxa"/>
            <w:bottom w:w="0" w:type="dxa"/>
            <w:right w:w="108" w:type="dxa"/>
          </w:tblCellMar>
        </w:tblPrEx>
        <w:trPr>
          <w:trHeight w:val="567" w:hRule="atLeast"/>
          <w:jc w:val="center"/>
        </w:trPr>
        <w:tc>
          <w:tcPr>
            <w:tcW w:w="930"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p>
        </w:tc>
        <w:tc>
          <w:tcPr>
            <w:tcW w:w="2000" w:type="dxa"/>
            <w:vMerge w:val="continue"/>
            <w:tcBorders>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p>
        </w:tc>
        <w:tc>
          <w:tcPr>
            <w:tcW w:w="4016"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科创领域校企合作经验分享</w:t>
            </w:r>
          </w:p>
        </w:tc>
        <w:tc>
          <w:tcPr>
            <w:tcW w:w="4169"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校企合作相关负责人</w:t>
            </w:r>
          </w:p>
        </w:tc>
      </w:tr>
      <w:tr>
        <w:tblPrEx>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企业参访</w:t>
            </w:r>
          </w:p>
        </w:tc>
        <w:tc>
          <w:tcPr>
            <w:tcW w:w="40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pageBreakBefore w:val="0"/>
              <w:kinsoku/>
              <w:wordWrap/>
              <w:overflowPunct/>
              <w:topLinePunct w:val="0"/>
              <w:autoSpaceDE/>
              <w:autoSpaceDN/>
              <w:bidi w:val="0"/>
              <w:spacing w:beforeAutospacing="0" w:afterAutospacing="0" w:line="560" w:lineRule="exact"/>
              <w:jc w:val="center"/>
              <w:rPr>
                <w:rFonts w:hint="default" w:asciiTheme="minorHAnsi" w:hAnsiTheme="minorHAnsi" w:eastAsiaTheme="minorEastAsia" w:cstheme="minorBidi"/>
                <w:kern w:val="2"/>
                <w:sz w:val="21"/>
                <w:szCs w:val="22"/>
                <w:lang w:val="en-US" w:eastAsia="zh-CN" w:bidi="ar-SA"/>
              </w:rPr>
            </w:pPr>
            <w:r>
              <w:rPr>
                <w:rFonts w:hint="eastAsia" w:ascii="仿宋" w:hAnsi="仿宋" w:eastAsia="仿宋" w:cs="仿宋"/>
                <w:color w:val="000000"/>
                <w:kern w:val="2"/>
                <w:sz w:val="24"/>
                <w:szCs w:val="24"/>
                <w:lang w:val="en-US" w:eastAsia="zh-CN" w:bidi="ar-SA"/>
              </w:rPr>
              <w:t>深圳市标杆科技企业</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唯酷光电</w:t>
            </w:r>
            <w:r>
              <w:rPr>
                <w:rFonts w:hint="eastAsia" w:ascii="仿宋" w:hAnsi="仿宋" w:eastAsia="仿宋" w:cs="仿宋"/>
                <w:color w:val="000000"/>
                <w:kern w:val="2"/>
                <w:sz w:val="24"/>
                <w:szCs w:val="24"/>
                <w:lang w:val="en-US" w:eastAsia="zh-CN" w:bidi="ar-SA"/>
              </w:rPr>
              <w:t>、富能</w:t>
            </w:r>
          </w:p>
        </w:tc>
      </w:tr>
      <w:tr>
        <w:tblPrEx>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b w:val="0"/>
                <w:bCs w:val="0"/>
                <w:color w:val="404040"/>
                <w:kern w:val="0"/>
                <w:sz w:val="24"/>
                <w:szCs w:val="24"/>
                <w:lang w:val="en-US" w:eastAsia="zh-CN" w:bidi="ar-SA"/>
              </w:rPr>
            </w:pPr>
            <w:r>
              <w:rPr>
                <w:rFonts w:hint="eastAsia" w:ascii="仿宋" w:hAnsi="仿宋" w:eastAsia="仿宋" w:cs="仿宋"/>
                <w:b w:val="0"/>
                <w:bCs w:val="0"/>
                <w:color w:val="404040"/>
                <w:kern w:val="0"/>
                <w:sz w:val="24"/>
                <w:szCs w:val="24"/>
                <w:lang w:val="en-US" w:eastAsia="zh-CN" w:bidi="ar-SA"/>
              </w:rPr>
              <w:t>结课论坛</w:t>
            </w:r>
          </w:p>
        </w:tc>
        <w:tc>
          <w:tcPr>
            <w:tcW w:w="40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学员报告，结业仪式</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王树勋</w:t>
            </w:r>
            <w:r>
              <w:rPr>
                <w:rFonts w:hint="eastAsia" w:ascii="仿宋" w:hAnsi="仿宋" w:eastAsia="仿宋" w:cs="仿宋"/>
                <w:color w:val="000000"/>
                <w:kern w:val="0"/>
                <w:sz w:val="24"/>
                <w:szCs w:val="24"/>
                <w:lang w:val="en-US" w:eastAsia="zh-CN"/>
              </w:rPr>
              <w:t>及特邀嘉宾</w:t>
            </w:r>
          </w:p>
        </w:tc>
      </w:tr>
    </w:tbl>
    <w:p>
      <w:pPr>
        <w:keepNext w:val="0"/>
        <w:pageBreakBefore w:val="0"/>
        <w:kinsoku/>
        <w:wordWrap/>
        <w:overflowPunct/>
        <w:topLinePunct w:val="0"/>
        <w:autoSpaceDE/>
        <w:autoSpaceDN/>
        <w:bidi w:val="0"/>
        <w:spacing w:beforeAutospacing="0" w:afterAutospacing="0"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备注：</w:t>
      </w:r>
      <w:r>
        <w:rPr>
          <w:rFonts w:hint="eastAsia" w:ascii="仿宋" w:hAnsi="仿宋" w:eastAsia="仿宋" w:cs="仿宋"/>
          <w:color w:val="auto"/>
          <w:sz w:val="28"/>
          <w:szCs w:val="28"/>
          <w:lang w:eastAsia="zh-CN"/>
        </w:rPr>
        <w:t>实际课程安排根据嘉宾及企业时间调整，</w:t>
      </w:r>
      <w:r>
        <w:rPr>
          <w:rFonts w:hint="eastAsia" w:ascii="仿宋_GB2312" w:hAnsi="楷体" w:eastAsia="仿宋_GB2312" w:cs="Times New Roman"/>
          <w:color w:val="auto"/>
          <w:kern w:val="2"/>
          <w:sz w:val="28"/>
          <w:szCs w:val="28"/>
          <w:lang w:val="en-US" w:eastAsia="zh-CN" w:bidi="ar-SA"/>
        </w:rPr>
        <w:t>深圳南科大教育培训中心</w:t>
      </w:r>
      <w:r>
        <w:rPr>
          <w:rFonts w:hint="eastAsia" w:ascii="仿宋" w:hAnsi="仿宋" w:eastAsia="仿宋" w:cs="仿宋"/>
          <w:color w:val="auto"/>
          <w:sz w:val="28"/>
          <w:szCs w:val="28"/>
          <w:lang w:eastAsia="zh-CN"/>
        </w:rPr>
        <w:t>保留调整的权利。</w:t>
      </w:r>
    </w:p>
    <w:p>
      <w:pPr>
        <w:pStyle w:val="2"/>
        <w:keepNext w:val="0"/>
        <w:pageBreakBefore w:val="0"/>
        <w:numPr>
          <w:ilvl w:val="0"/>
          <w:numId w:val="0"/>
        </w:numPr>
        <w:kinsoku/>
        <w:wordWrap/>
        <w:overflowPunct/>
        <w:topLinePunct w:val="0"/>
        <w:autoSpaceDE/>
        <w:autoSpaceDN/>
        <w:bidi w:val="0"/>
        <w:spacing w:beforeLines="0" w:beforeAutospacing="0" w:afterLines="0" w:afterAutospacing="0" w:line="560" w:lineRule="exact"/>
        <w:ind w:leftChars="0"/>
        <w:rPr>
          <w:rFonts w:hint="eastAsia"/>
        </w:rPr>
      </w:pP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三、课程学时及时间安排</w:t>
      </w:r>
    </w:p>
    <w:tbl>
      <w:tblPr>
        <w:tblStyle w:val="8"/>
        <w:tblW w:w="8353" w:type="dxa"/>
        <w:jc w:val="center"/>
        <w:tblLayout w:type="autofit"/>
        <w:tblCellMar>
          <w:top w:w="0" w:type="dxa"/>
          <w:left w:w="108" w:type="dxa"/>
          <w:bottom w:w="0" w:type="dxa"/>
          <w:right w:w="108" w:type="dxa"/>
        </w:tblCellMar>
      </w:tblPr>
      <w:tblGrid>
        <w:gridCol w:w="846"/>
        <w:gridCol w:w="3408"/>
        <w:gridCol w:w="748"/>
        <w:gridCol w:w="1617"/>
        <w:gridCol w:w="1734"/>
      </w:tblGrid>
      <w:tr>
        <w:tblPrEx>
          <w:tblCellMar>
            <w:top w:w="0" w:type="dxa"/>
            <w:left w:w="108" w:type="dxa"/>
            <w:bottom w:w="0" w:type="dxa"/>
            <w:right w:w="108" w:type="dxa"/>
          </w:tblCellMar>
        </w:tblPrEx>
        <w:trPr>
          <w:trHeight w:val="56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序号</w:t>
            </w:r>
          </w:p>
        </w:tc>
        <w:tc>
          <w:tcPr>
            <w:tcW w:w="34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课程名称</w:t>
            </w:r>
          </w:p>
        </w:tc>
        <w:tc>
          <w:tcPr>
            <w:tcW w:w="7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课时</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时间安排</w:t>
            </w:r>
          </w:p>
        </w:tc>
        <w:tc>
          <w:tcPr>
            <w:tcW w:w="17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上课地点</w:t>
            </w:r>
          </w:p>
        </w:tc>
      </w:tr>
      <w:tr>
        <w:trPr>
          <w:trHeight w:val="498" w:hRule="atLeast"/>
          <w:jc w:val="center"/>
        </w:trPr>
        <w:tc>
          <w:tcPr>
            <w:tcW w:w="846" w:type="dxa"/>
            <w:vMerge w:val="restart"/>
            <w:tcBorders>
              <w:top w:val="nil"/>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000000"/>
                <w:kern w:val="0"/>
                <w:sz w:val="24"/>
                <w:szCs w:val="24"/>
                <w:lang w:val="en-US" w:eastAsia="zh-CN"/>
              </w:rPr>
              <w:t>全球科创金融现状及发展趋势，</w:t>
            </w:r>
            <w:r>
              <w:rPr>
                <w:rFonts w:hint="eastAsia" w:ascii="仿宋" w:hAnsi="仿宋" w:eastAsia="仿宋" w:cs="仿宋"/>
                <w:color w:val="000000"/>
                <w:kern w:val="0"/>
                <w:sz w:val="24"/>
                <w:szCs w:val="24"/>
              </w:rPr>
              <w:t>深圳打造风投创投中心</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1.5</w:t>
            </w:r>
          </w:p>
        </w:tc>
        <w:tc>
          <w:tcPr>
            <w:tcW w:w="1617" w:type="dxa"/>
            <w:vMerge w:val="restart"/>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2022年10月中旬-11月中旬</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bidi="ar-SA"/>
              </w:rPr>
            </w:pPr>
          </w:p>
        </w:tc>
        <w:tc>
          <w:tcPr>
            <w:tcW w:w="1734" w:type="dxa"/>
            <w:vMerge w:val="restart"/>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南方科技大学（南山区学苑大道1088号）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bidi="ar-SA"/>
              </w:rPr>
            </w:pPr>
          </w:p>
        </w:tc>
      </w:tr>
      <w:tr>
        <w:tblPrEx>
          <w:tblCellMar>
            <w:top w:w="0" w:type="dxa"/>
            <w:left w:w="108" w:type="dxa"/>
            <w:bottom w:w="0" w:type="dxa"/>
            <w:right w:w="108" w:type="dxa"/>
          </w:tblCellMar>
        </w:tblPrEx>
        <w:trPr>
          <w:trHeight w:val="498"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000000"/>
                <w:kern w:val="0"/>
                <w:sz w:val="24"/>
                <w:szCs w:val="24"/>
              </w:rPr>
              <w:t>科创企业投资评估逻辑及模型</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bidi="ar-SA"/>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191919"/>
                <w:kern w:val="2"/>
                <w:sz w:val="24"/>
                <w:szCs w:val="24"/>
                <w:lang w:val="en-US" w:eastAsia="zh-CN" w:bidi="ar-SA"/>
              </w:rPr>
            </w:pPr>
            <w:r>
              <w:rPr>
                <w:rFonts w:hint="eastAsia" w:ascii="仿宋" w:hAnsi="仿宋" w:eastAsia="仿宋" w:cs="仿宋"/>
                <w:color w:val="000000"/>
                <w:kern w:val="0"/>
                <w:sz w:val="24"/>
                <w:szCs w:val="24"/>
                <w:lang w:val="en-US" w:eastAsia="zh-CN"/>
              </w:rPr>
              <w:t>大湾区产业规划与产业引导基金</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lang w:val="en-US" w:eastAsia="zh-CN"/>
              </w:rPr>
              <w:t>科创企业的融资和贷款担保（募）</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191919"/>
                <w:kern w:val="0"/>
                <w:sz w:val="24"/>
                <w:szCs w:val="24"/>
              </w:rPr>
              <w:t>科创金融机构的投资逻辑</w:t>
            </w:r>
            <w:r>
              <w:rPr>
                <w:rFonts w:hint="eastAsia" w:ascii="仿宋" w:hAnsi="仿宋" w:eastAsia="仿宋" w:cs="仿宋"/>
                <w:color w:val="191919"/>
                <w:kern w:val="0"/>
                <w:sz w:val="24"/>
                <w:szCs w:val="24"/>
                <w:lang w:eastAsia="zh-CN"/>
              </w:rPr>
              <w:t>（</w:t>
            </w:r>
            <w:r>
              <w:rPr>
                <w:rFonts w:hint="eastAsia" w:ascii="仿宋" w:hAnsi="仿宋" w:eastAsia="仿宋" w:cs="仿宋"/>
                <w:color w:val="191919"/>
                <w:kern w:val="0"/>
                <w:sz w:val="24"/>
                <w:szCs w:val="24"/>
                <w:lang w:val="en-US" w:eastAsia="zh-CN"/>
              </w:rPr>
              <w:t>投）</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科创</w:t>
            </w:r>
            <w:r>
              <w:rPr>
                <w:rFonts w:hint="eastAsia" w:ascii="仿宋" w:hAnsi="仿宋" w:eastAsia="仿宋" w:cs="仿宋"/>
                <w:color w:val="000000"/>
                <w:kern w:val="0"/>
                <w:sz w:val="24"/>
                <w:szCs w:val="24"/>
                <w:lang w:val="en-US" w:eastAsia="zh-CN"/>
              </w:rPr>
              <w:t>企业的投后管理与扶持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管）</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rPr>
              <w:t>科创企业上市和并购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退）</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408"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科创金融机构联动方式与案例</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191919"/>
                <w:kern w:val="0"/>
                <w:sz w:val="24"/>
                <w:szCs w:val="24"/>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898"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191919"/>
                <w:kern w:val="0"/>
                <w:sz w:val="24"/>
                <w:szCs w:val="24"/>
                <w:lang w:val="en-US" w:eastAsia="zh-CN" w:bidi="ar-SA"/>
              </w:rPr>
              <w:t>生物医药前沿技术分享（企业参访）</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restart"/>
            <w:tcBorders>
              <w:top w:val="single" w:color="auto" w:sz="4" w:space="0"/>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3408" w:type="dxa"/>
            <w:tcBorders>
              <w:top w:val="single" w:color="auto" w:sz="4" w:space="0"/>
              <w:left w:val="single" w:color="auto" w:sz="4" w:space="0"/>
              <w:bottom w:val="single" w:color="000000"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SA"/>
              </w:rPr>
              <w:t>人工智能和智能制造</w:t>
            </w:r>
          </w:p>
        </w:tc>
        <w:tc>
          <w:tcPr>
            <w:tcW w:w="748"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191919"/>
                <w:kern w:val="0"/>
                <w:sz w:val="24"/>
                <w:szCs w:val="24"/>
                <w:lang w:val="en-US" w:eastAsia="zh-CN" w:bidi="ar-SA"/>
              </w:rPr>
              <w:t>人工智能投资经验与案例分享</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restart"/>
            <w:tcBorders>
              <w:top w:val="nil"/>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SA"/>
              </w:rPr>
              <w:t>10</w:t>
            </w: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191919"/>
                <w:kern w:val="0"/>
                <w:sz w:val="24"/>
                <w:szCs w:val="24"/>
                <w:lang w:val="en-US" w:eastAsia="zh-CN"/>
              </w:rPr>
              <w:t>新能源行业发展</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191919"/>
                <w:kern w:val="0"/>
                <w:sz w:val="24"/>
                <w:szCs w:val="24"/>
                <w:lang w:val="en-US" w:eastAsia="zh-CN"/>
              </w:rPr>
              <w:t>新能源投资经验与案例分享</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restart"/>
            <w:tcBorders>
              <w:top w:val="nil"/>
              <w:left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3408" w:type="dxa"/>
            <w:tcBorders>
              <w:top w:val="nil"/>
              <w:left w:val="single" w:color="auto" w:sz="4" w:space="0"/>
              <w:bottom w:val="single" w:color="000000"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eastAsia" w:ascii="仿宋" w:hAnsi="仿宋" w:eastAsia="仿宋" w:cs="仿宋"/>
                <w:color w:val="191919"/>
                <w:kern w:val="0"/>
                <w:sz w:val="24"/>
                <w:szCs w:val="24"/>
                <w:lang w:val="en-US" w:eastAsia="zh-CN" w:bidi="ar-SA"/>
              </w:rPr>
            </w:pPr>
            <w:r>
              <w:rPr>
                <w:rFonts w:hint="eastAsia" w:ascii="仿宋" w:hAnsi="仿宋" w:eastAsia="仿宋" w:cs="仿宋"/>
                <w:color w:val="000000"/>
                <w:kern w:val="0"/>
                <w:sz w:val="24"/>
                <w:szCs w:val="24"/>
                <w:lang w:val="en-US" w:eastAsia="zh-CN" w:bidi="ar-SA"/>
              </w:rPr>
              <w:t>知识产权布局和证券化</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p>
        </w:tc>
        <w:tc>
          <w:tcPr>
            <w:tcW w:w="3408"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2"/>
                <w:sz w:val="24"/>
                <w:szCs w:val="24"/>
                <w:lang w:val="en-US" w:eastAsia="zh-CN" w:bidi="ar-SA"/>
              </w:rPr>
              <w:t>科创领域校企合作经验分享</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1.5</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3408" w:type="dxa"/>
            <w:tcBorders>
              <w:top w:val="nil"/>
              <w:left w:val="single" w:color="auto" w:sz="4" w:space="0"/>
              <w:bottom w:val="single" w:color="000000" w:sz="4" w:space="0"/>
              <w:right w:val="single" w:color="auto" w:sz="4" w:space="0"/>
            </w:tcBorders>
            <w:shd w:val="clear" w:color="auto" w:fill="auto"/>
            <w:vAlign w:val="top"/>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深圳市标杆科技企业</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w:t>
            </w:r>
          </w:p>
        </w:tc>
        <w:tc>
          <w:tcPr>
            <w:tcW w:w="1617" w:type="dxa"/>
            <w:vMerge w:val="continue"/>
            <w:tcBorders>
              <w:left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3408" w:type="dxa"/>
            <w:tcBorders>
              <w:top w:val="nil"/>
              <w:left w:val="single" w:color="auto" w:sz="4" w:space="0"/>
              <w:bottom w:val="single" w:color="000000" w:sz="4" w:space="0"/>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
                <w:color w:val="000000"/>
                <w:kern w:val="0"/>
                <w:sz w:val="24"/>
                <w:szCs w:val="24"/>
                <w:lang w:val="en-US" w:eastAsia="zh-CN"/>
              </w:rPr>
              <w:t>学员报告，结业仪式</w:t>
            </w:r>
          </w:p>
        </w:tc>
        <w:tc>
          <w:tcPr>
            <w:tcW w:w="748" w:type="dxa"/>
            <w:tcBorders>
              <w:top w:val="nil"/>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w:t>
            </w:r>
          </w:p>
        </w:tc>
        <w:tc>
          <w:tcPr>
            <w:tcW w:w="1617" w:type="dxa"/>
            <w:vMerge w:val="continue"/>
            <w:tcBorders>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c>
          <w:tcPr>
            <w:tcW w:w="1734" w:type="dxa"/>
            <w:vMerge w:val="continue"/>
            <w:tcBorders>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trHeight w:val="498" w:hRule="atLeast"/>
          <w:jc w:val="center"/>
        </w:trPr>
        <w:tc>
          <w:tcPr>
            <w:tcW w:w="846"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合计</w:t>
            </w:r>
          </w:p>
        </w:tc>
        <w:tc>
          <w:tcPr>
            <w:tcW w:w="7507" w:type="dxa"/>
            <w:gridSpan w:val="4"/>
            <w:tcBorders>
              <w:top w:val="nil"/>
              <w:left w:val="single" w:color="auto" w:sz="4" w:space="0"/>
              <w:bottom w:val="nil"/>
              <w:right w:val="single" w:color="auto" w:sz="4" w:space="0"/>
            </w:tcBorders>
            <w:shd w:val="clear" w:color="auto" w:fill="auto"/>
            <w:vAlign w:val="top"/>
          </w:tcPr>
          <w:p>
            <w:pPr>
              <w:keepNext w:val="0"/>
              <w:pageBreakBefore w:val="0"/>
              <w:widowControl/>
              <w:numPr>
                <w:ilvl w:val="0"/>
                <w:numId w:val="0"/>
              </w:numPr>
              <w:kinsoku/>
              <w:wordWrap/>
              <w:overflowPunct/>
              <w:topLinePunct w:val="0"/>
              <w:autoSpaceDE/>
              <w:autoSpaceDN/>
              <w:bidi w:val="0"/>
              <w:spacing w:beforeAutospacing="0" w:afterAutospacing="0" w:line="560" w:lineRule="exact"/>
              <w:ind w:left="0" w:leftChars="0" w:firstLine="0" w:firstLineChars="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36学时</w:t>
            </w:r>
          </w:p>
        </w:tc>
      </w:tr>
    </w:tbl>
    <w:p>
      <w:pPr>
        <w:keepNext w:val="0"/>
        <w:pageBreakBefore w:val="0"/>
        <w:kinsoku/>
        <w:wordWrap/>
        <w:overflowPunct/>
        <w:topLinePunct w:val="0"/>
        <w:autoSpaceDE/>
        <w:autoSpaceDN/>
        <w:bidi w:val="0"/>
        <w:spacing w:beforeAutospacing="0" w:afterAutospacing="0" w:line="560" w:lineRule="exact"/>
        <w:ind w:left="1" w:firstLine="560" w:firstLineChars="200"/>
        <w:rPr>
          <w:rFonts w:hint="eastAsia"/>
        </w:rPr>
      </w:pPr>
      <w:r>
        <w:rPr>
          <w:rFonts w:hint="eastAsia" w:ascii="仿宋" w:hAnsi="仿宋" w:eastAsia="仿宋" w:cs="仿宋"/>
          <w:color w:val="auto"/>
          <w:sz w:val="28"/>
          <w:szCs w:val="28"/>
        </w:rPr>
        <w:t>备注：</w:t>
      </w:r>
      <w:r>
        <w:rPr>
          <w:rFonts w:hint="eastAsia" w:ascii="仿宋" w:hAnsi="仿宋" w:eastAsia="仿宋" w:cs="仿宋"/>
          <w:color w:val="auto"/>
          <w:sz w:val="28"/>
          <w:szCs w:val="28"/>
          <w:lang w:eastAsia="zh-CN"/>
        </w:rPr>
        <w:t>上课时间：2022年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月中旬-</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月中旬。</w:t>
      </w:r>
      <w:r>
        <w:rPr>
          <w:rFonts w:hint="eastAsia" w:ascii="仿宋" w:hAnsi="仿宋" w:eastAsia="仿宋" w:cs="仿宋"/>
          <w:color w:val="auto"/>
          <w:sz w:val="28"/>
          <w:szCs w:val="28"/>
        </w:rPr>
        <w:t>学制：2个月，每</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安排一次，每次2-3天（周五至周日）</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lang w:val="en-US" w:eastAsia="zh-CN"/>
        </w:rPr>
      </w:pPr>
      <w:bookmarkStart w:id="0" w:name="_Hlk106309131"/>
      <w:r>
        <w:rPr>
          <w:rFonts w:hint="eastAsia" w:ascii="黑体" w:hAnsi="黑体" w:eastAsia="黑体"/>
          <w:b/>
          <w:bCs/>
          <w:sz w:val="36"/>
          <w:szCs w:val="36"/>
        </w:rPr>
        <w:t>第三部分 缴费、考核及其他事项</w:t>
      </w:r>
    </w:p>
    <w:bookmarkEnd w:id="0"/>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lang w:val="en-US" w:eastAsia="zh-CN"/>
        </w:rPr>
      </w:pPr>
      <w:r>
        <w:rPr>
          <w:rFonts w:hint="eastAsia" w:ascii="黑体" w:hAnsi="黑体" w:eastAsia="黑体" w:cs="Times New Roman"/>
          <w:b w:val="0"/>
          <w:bCs w:val="0"/>
          <w:sz w:val="32"/>
          <w:szCs w:val="32"/>
          <w:lang w:val="en-US" w:eastAsia="zh-CN"/>
        </w:rPr>
        <w:t>一、考核要求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（一）考勤达标</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总课时为36课时，学员缺勤次数不得超过6课时，即总学时的1/6。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（二）提交学习报告</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结业前，学员以课题小组为单位提交1篇课题报告。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（三）考核结果运用</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享受财政补贴的学员考勤达标且提交学习报告的，才可享受培养经费资助。</w:t>
      </w: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lang w:val="en-US" w:eastAsia="zh-CN"/>
        </w:rPr>
      </w:pPr>
      <w:r>
        <w:rPr>
          <w:rFonts w:hint="eastAsia" w:ascii="黑体" w:hAnsi="黑体" w:eastAsia="黑体" w:cs="Times New Roman"/>
          <w:b w:val="0"/>
          <w:bCs w:val="0"/>
          <w:sz w:val="32"/>
          <w:szCs w:val="32"/>
          <w:lang w:val="en-US" w:eastAsia="zh-CN"/>
        </w:rPr>
        <w:t>二、学费缴纳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（一）费用标准</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2022年深圳市金融骨干人才培养计划系列专题研修班学费为15000元/人，学费含师资费、场地费、餐费（上课期间工作餐）、学习资料费、团建活动费、项目管理费等。其中财政补贴学员先行缴纳全额学费，项目结业到达考核标准，发放财政补贴1万元/人。非财政补贴学员需自费缴纳全额学费15000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（二）收款账号</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default" w:ascii="仿宋_GB2312" w:hAnsi="楷体" w:eastAsia="仿宋_GB2312" w:cs="Times New Roman"/>
          <w:color w:val="auto"/>
          <w:sz w:val="32"/>
          <w:szCs w:val="32"/>
          <w:lang w:val="en-US" w:eastAsia="zh-CN"/>
        </w:rPr>
      </w:pPr>
      <w:r>
        <w:rPr>
          <w:rFonts w:hint="eastAsia" w:ascii="仿宋_GB2312" w:hAnsi="楷体" w:eastAsia="仿宋_GB2312" w:cs="Times New Roman"/>
          <w:color w:val="auto"/>
          <w:sz w:val="32"/>
          <w:szCs w:val="32"/>
          <w:lang w:val="en-US" w:eastAsia="zh-CN"/>
        </w:rPr>
        <w:t>收款单位: 深圳市南科大教育培训中心</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default" w:ascii="仿宋_GB2312" w:hAnsi="楷体" w:eastAsia="仿宋_GB2312" w:cs="Times New Roman"/>
          <w:color w:val="auto"/>
          <w:sz w:val="32"/>
          <w:szCs w:val="32"/>
          <w:lang w:val="en-US" w:eastAsia="zh-CN"/>
        </w:rPr>
      </w:pPr>
      <w:r>
        <w:rPr>
          <w:rFonts w:hint="eastAsia" w:ascii="仿宋_GB2312" w:hAnsi="楷体" w:eastAsia="仿宋_GB2312" w:cs="Times New Roman"/>
          <w:color w:val="auto"/>
          <w:sz w:val="32"/>
          <w:szCs w:val="32"/>
          <w:lang w:val="en-US" w:eastAsia="zh-CN"/>
        </w:rPr>
        <w:t>开户银行：民生银行深圳龙华支行</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default" w:ascii="仿宋_GB2312" w:hAnsi="楷体" w:eastAsia="仿宋_GB2312" w:cs="Times New Roman"/>
          <w:sz w:val="32"/>
          <w:szCs w:val="32"/>
          <w:lang w:val="en-US" w:eastAsia="zh-CN"/>
        </w:rPr>
      </w:pPr>
      <w:r>
        <w:rPr>
          <w:rFonts w:hint="eastAsia" w:ascii="仿宋_GB2312" w:hAnsi="楷体" w:eastAsia="仿宋_GB2312" w:cs="Times New Roman"/>
          <w:color w:val="auto"/>
          <w:sz w:val="32"/>
          <w:szCs w:val="32"/>
          <w:lang w:val="en-US" w:eastAsia="zh-CN"/>
        </w:rPr>
        <w:t>账    号：</w:t>
      </w:r>
      <w:r>
        <w:rPr>
          <w:rFonts w:hint="eastAsia" w:ascii="仿宋_GB2312" w:hAnsi="楷体" w:eastAsia="仿宋_GB2312" w:cs="Times New Roman"/>
          <w:b w:val="0"/>
          <w:bCs w:val="0"/>
          <w:sz w:val="32"/>
          <w:szCs w:val="32"/>
          <w:lang w:val="en-US" w:eastAsia="zh-CN"/>
        </w:rPr>
        <w:t>632371662</w:t>
      </w:r>
    </w:p>
    <w:p>
      <w:pPr>
        <w:keepNext w:val="0"/>
        <w:pageBreakBefore w:val="0"/>
        <w:kinsoku/>
        <w:wordWrap/>
        <w:overflowPunct/>
        <w:topLinePunct w:val="0"/>
        <w:autoSpaceDE/>
        <w:autoSpaceDN/>
        <w:bidi w:val="0"/>
        <w:spacing w:beforeAutospacing="0" w:afterAutospacing="0" w:line="560" w:lineRule="exact"/>
        <w:ind w:left="1" w:firstLine="560" w:firstLineChars="200"/>
        <w:rPr>
          <w:rFonts w:hint="eastAsia" w:ascii="仿宋_GB2312" w:hAnsi="楷体" w:eastAsia="仿宋_GB2312" w:cs="Times New Roman"/>
          <w:sz w:val="28"/>
          <w:szCs w:val="28"/>
          <w:lang w:val="en-US" w:eastAsia="zh-CN"/>
        </w:rPr>
      </w:pPr>
      <w:r>
        <w:rPr>
          <w:rFonts w:hint="eastAsia" w:ascii="仿宋_GB2312" w:hAnsi="楷体" w:eastAsia="仿宋_GB2312" w:cs="Times New Roman"/>
          <w:sz w:val="28"/>
          <w:szCs w:val="28"/>
          <w:lang w:val="en-US" w:eastAsia="zh-CN"/>
        </w:rPr>
        <w:t>*转帐备注：2022年深圳市金融骨干人才研修班+单位+学员姓名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（三）发票开具</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学员提供单位名称、纳税人识别号、地址、联系电话、开户银行、银行账号等信息，深圳市南科大教育培训中心开具</w:t>
      </w:r>
      <w:r>
        <w:rPr>
          <w:rFonts w:hint="eastAsia" w:ascii="仿宋_GB2312" w:hAnsi="楷体" w:eastAsia="仿宋_GB2312" w:cs="Times New Roman"/>
          <w:color w:val="auto"/>
          <w:sz w:val="32"/>
          <w:szCs w:val="32"/>
          <w:lang w:val="en-US" w:eastAsia="zh-CN"/>
        </w:rPr>
        <w:t>增值税专用发票（纸质发票）</w:t>
      </w:r>
      <w:r>
        <w:rPr>
          <w:rFonts w:hint="eastAsia" w:ascii="仿宋_GB2312" w:hAnsi="楷体"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333333"/>
          <w:kern w:val="0"/>
          <w:sz w:val="32"/>
          <w:szCs w:val="32"/>
          <w:shd w:val="clear" w:color="auto" w:fill="FFFFFF"/>
          <w:lang w:val="en-US" w:eastAsia="zh-CN"/>
        </w:rPr>
      </w:pPr>
      <w:r>
        <w:rPr>
          <w:rFonts w:hint="eastAsia" w:ascii="楷体_GB2312" w:hAnsi="楷体_GB2312" w:eastAsia="楷体_GB2312" w:cs="楷体_GB2312"/>
          <w:b w:val="0"/>
          <w:bCs w:val="0"/>
          <w:color w:val="333333"/>
          <w:kern w:val="0"/>
          <w:sz w:val="32"/>
          <w:szCs w:val="32"/>
          <w:shd w:val="clear" w:color="auto" w:fill="FFFFFF"/>
          <w:lang w:val="en-US" w:eastAsia="zh-CN"/>
        </w:rPr>
        <w:t>（四）联系方式</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联系人：赵老师</w:t>
      </w:r>
    </w:p>
    <w:p>
      <w:pPr>
        <w:keepNext w:val="0"/>
        <w:pageBreakBefore w:val="0"/>
        <w:kinsoku/>
        <w:wordWrap/>
        <w:overflowPunct/>
        <w:topLinePunct w:val="0"/>
        <w:autoSpaceDE/>
        <w:autoSpaceDN/>
        <w:bidi w:val="0"/>
        <w:spacing w:beforeAutospacing="0" w:afterAutospacing="0" w:line="560" w:lineRule="exact"/>
        <w:ind w:left="1" w:firstLine="640" w:firstLineChars="200"/>
        <w:rPr>
          <w:rFonts w:hint="default"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电话：18680323924</w:t>
      </w: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仿宋" w:hAnsi="仿宋" w:eastAsia="仿宋" w:cs="仿宋"/>
          <w:b/>
          <w:bCs/>
          <w:sz w:val="28"/>
          <w:szCs w:val="28"/>
        </w:rPr>
      </w:pPr>
      <w:r>
        <w:rPr>
          <w:rFonts w:hint="eastAsia" w:ascii="黑体" w:hAnsi="黑体" w:eastAsia="黑体" w:cs="Times New Roman"/>
          <w:b w:val="0"/>
          <w:bCs w:val="0"/>
          <w:sz w:val="32"/>
          <w:szCs w:val="32"/>
          <w:lang w:val="en-US" w:eastAsia="zh-CN"/>
        </w:rPr>
        <w:t>三、办学机构简介</w:t>
      </w:r>
    </w:p>
    <w:p>
      <w:pPr>
        <w:keepNext w:val="0"/>
        <w:pageBreakBefore w:val="0"/>
        <w:kinsoku/>
        <w:wordWrap/>
        <w:overflowPunct/>
        <w:topLinePunct w:val="0"/>
        <w:autoSpaceDE/>
        <w:autoSpaceDN/>
        <w:bidi w:val="0"/>
        <w:spacing w:beforeAutospacing="0" w:afterAutospacing="0"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深圳市南科大教育培训中心</w:t>
      </w:r>
      <w:r>
        <w:rPr>
          <w:rFonts w:hint="eastAsia" w:ascii="仿宋" w:hAnsi="仿宋" w:eastAsia="仿宋" w:cs="仿宋"/>
          <w:sz w:val="28"/>
          <w:szCs w:val="28"/>
        </w:rPr>
        <w:t>由南方科技大学主办，成立于2020年，是主要利用非国有资产、自愿举办、从事非营利性社会服务活动的社会组织。本单位的登记管理机关是深圳市民政局，业务主管单位是深圳市教育局，于2020年取得了深圳市教育局颁发的《教育培训机构办学备案证》。本单位的宗旨是：遵守宪法、法律、法规和国家政策，践行社会主义核心价值观，遵守社会道德风尚，坚持社会主义办学方向，贯彻国家的教育方针，保证教育教学质量，依托南方科技大学的师资力量、学科特色和办学条件，面向社会实现优质教育资源的有效共享，开展高层次、高质量、高科技的教育培训，服务深圳市现代化、国际化、创新型城市建设，为粤港澳大湾区发展做出贡献。目前，本单位的业务范围有：干部管理培训、企业管理培训、工程技术培训、教育管理培训、语言文化培训、国际教育培训。</w:t>
      </w:r>
    </w:p>
    <w:p>
      <w:pPr>
        <w:keepNext w:val="0"/>
        <w:pageBreakBefore w:val="0"/>
        <w:numPr>
          <w:ilvl w:val="0"/>
          <w:numId w:val="0"/>
        </w:numPr>
        <w:kinsoku/>
        <w:wordWrap/>
        <w:overflowPunct/>
        <w:topLinePunct w:val="0"/>
        <w:autoSpaceDE/>
        <w:autoSpaceDN/>
        <w:bidi w:val="0"/>
        <w:spacing w:beforeAutospacing="0" w:afterAutospacing="0" w:line="560" w:lineRule="exact"/>
        <w:ind w:left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以南方科技大学作为有力支撑</w:t>
      </w:r>
    </w:p>
    <w:p>
      <w:pPr>
        <w:keepNext w:val="0"/>
        <w:pageBreakBefore w:val="0"/>
        <w:kinsoku/>
        <w:wordWrap/>
        <w:overflowPunct/>
        <w:topLinePunct w:val="0"/>
        <w:autoSpaceDE/>
        <w:autoSpaceDN/>
        <w:bidi w:val="0"/>
        <w:spacing w:beforeAutospacing="0" w:afterAutospacing="0"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南方科技大学</w:t>
      </w:r>
      <w:r>
        <w:rPr>
          <w:rFonts w:hint="eastAsia" w:ascii="仿宋" w:hAnsi="仿宋" w:eastAsia="仿宋" w:cs="仿宋"/>
          <w:sz w:val="28"/>
          <w:szCs w:val="28"/>
        </w:rPr>
        <w:t>成立于2010年，是深圳在中国高等教育改革发展的宏观背景下创建的一所高起点、高定位的公办创新型大学。以服务创新型国家建设及深圳国际化现代化创新型城市建设为己任，在本科、硕士、博士层次办学，在一系列新的学科方向上开展研究，使学校成为引领社会发展的思想库和新知识、新技术的源泉。经过十年的发展，南科大取得了举世瞩目的成绩，在“泰晤士高等教育世界大学排名2021中”南方科技大学排名内地高校第8位，世界排名第253位；“2020年世界年轻大学”（建校不超过50年）排名中国内地高校第1位，世界排名第47位。</w:t>
      </w:r>
    </w:p>
    <w:p>
      <w:pPr>
        <w:keepNext w:val="0"/>
        <w:pageBreakBefore w:val="0"/>
        <w:numPr>
          <w:ilvl w:val="0"/>
          <w:numId w:val="0"/>
        </w:numPr>
        <w:kinsoku/>
        <w:wordWrap/>
        <w:overflowPunct/>
        <w:topLinePunct w:val="0"/>
        <w:autoSpaceDE/>
        <w:autoSpaceDN/>
        <w:bidi w:val="0"/>
        <w:spacing w:beforeAutospacing="0" w:afterAutospacing="0" w:line="560" w:lineRule="exact"/>
        <w:ind w:left="400" w:leftChars="0"/>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先进的培训理念</w:t>
      </w:r>
    </w:p>
    <w:p>
      <w:pPr>
        <w:keepNext w:val="0"/>
        <w:pageBreakBefore w:val="0"/>
        <w:widowControl/>
        <w:kinsoku/>
        <w:wordWrap/>
        <w:overflowPunct/>
        <w:topLinePunct w:val="0"/>
        <w:autoSpaceDE/>
        <w:autoSpaceDN/>
        <w:bidi w:val="0"/>
        <w:spacing w:beforeAutospacing="0" w:afterAutospacing="0" w:line="56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深圳市南科大教育培训中心</w:t>
      </w:r>
      <w:r>
        <w:rPr>
          <w:rFonts w:hint="eastAsia" w:ascii="仿宋" w:hAnsi="仿宋" w:eastAsia="仿宋" w:cs="仿宋"/>
          <w:sz w:val="28"/>
          <w:szCs w:val="28"/>
        </w:rPr>
        <w:t>成立于南科大建校10周年之际，秉承南科大“创知、创新、创业”的办学特色，以优质的教育教学资源，反哺深圳市及粤港澳大湾区的建设和发展，向社会辐射南科大强大的教育教学能量；积极探索拔尖创新人才的培养模式，为社会大众提供高质量的继续教育和终生教育服务。</w:t>
      </w:r>
    </w:p>
    <w:p>
      <w:pPr>
        <w:keepNext w:val="0"/>
        <w:pageBreakBefore w:val="0"/>
        <w:numPr>
          <w:ilvl w:val="0"/>
          <w:numId w:val="0"/>
        </w:numPr>
        <w:kinsoku/>
        <w:wordWrap/>
        <w:overflowPunct/>
        <w:topLinePunct w:val="0"/>
        <w:autoSpaceDE/>
        <w:autoSpaceDN/>
        <w:bidi w:val="0"/>
        <w:spacing w:beforeAutospacing="0" w:afterAutospacing="0" w:line="560" w:lineRule="exact"/>
        <w:ind w:left="400" w:leftChars="0"/>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优秀的师资团队</w:t>
      </w:r>
    </w:p>
    <w:p>
      <w:pPr>
        <w:keepNext w:val="0"/>
        <w:pageBreakBefore w:val="0"/>
        <w:kinsoku/>
        <w:wordWrap/>
        <w:overflowPunct/>
        <w:topLinePunct w:val="0"/>
        <w:autoSpaceDE/>
        <w:autoSpaceDN/>
        <w:bidi w:val="0"/>
        <w:spacing w:beforeAutospacing="0" w:afterAutospacing="0"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深圳市南科大教育培训中心</w:t>
      </w:r>
      <w:r>
        <w:rPr>
          <w:rFonts w:hint="eastAsia" w:ascii="仿宋" w:hAnsi="仿宋" w:eastAsia="仿宋" w:cs="仿宋"/>
          <w:sz w:val="28"/>
          <w:szCs w:val="28"/>
        </w:rPr>
        <w:t>与南科大共享高水准国际化的师资队伍。在学校教师队伍中，具有海外工作经验者多达90%，60%以上来自世界排名前100大学，国家级人才头衔获得者约占教研序列教师比例高达60%。目前培训中心拥有专职教师11人，均为博士学位、具有教授或副教授职称。</w:t>
      </w:r>
    </w:p>
    <w:tbl>
      <w:tblPr>
        <w:tblStyle w:val="8"/>
        <w:tblpPr w:leftFromText="180" w:rightFromText="180" w:vertAnchor="text" w:horzAnchor="page" w:tblpXSpec="center" w:tblpY="190"/>
        <w:tblOverlap w:val="never"/>
        <w:tblW w:w="0" w:type="auto"/>
        <w:tblCellSpacing w:w="0" w:type="dxa"/>
        <w:tblInd w:w="0" w:type="dxa"/>
        <w:tblLayout w:type="fixed"/>
        <w:tblCellMar>
          <w:top w:w="0" w:type="dxa"/>
          <w:left w:w="0" w:type="dxa"/>
          <w:bottom w:w="0" w:type="dxa"/>
          <w:right w:w="0" w:type="dxa"/>
        </w:tblCellMar>
      </w:tblPr>
      <w:tblGrid>
        <w:gridCol w:w="3229"/>
        <w:gridCol w:w="1536"/>
        <w:gridCol w:w="3288"/>
        <w:gridCol w:w="1419"/>
      </w:tblGrid>
      <w:tr>
        <w:tblPrEx>
          <w:tblCellMar>
            <w:top w:w="0" w:type="dxa"/>
            <w:left w:w="0" w:type="dxa"/>
            <w:bottom w:w="0" w:type="dxa"/>
            <w:right w:w="0" w:type="dxa"/>
          </w:tblCellMar>
        </w:tblPrEx>
        <w:trPr>
          <w:trHeight w:val="460"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院士</w:t>
            </w:r>
          </w:p>
        </w:tc>
        <w:tc>
          <w:tcPr>
            <w:tcW w:w="1536"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45</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优秀青年基金</w:t>
            </w:r>
          </w:p>
        </w:tc>
        <w:tc>
          <w:tcPr>
            <w:tcW w:w="1419"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14</w:t>
            </w:r>
          </w:p>
        </w:tc>
      </w:tr>
      <w:tr>
        <w:tblPrEx>
          <w:tblCellMar>
            <w:top w:w="0" w:type="dxa"/>
            <w:left w:w="0" w:type="dxa"/>
            <w:bottom w:w="0" w:type="dxa"/>
            <w:right w:w="0" w:type="dxa"/>
          </w:tblCellMar>
        </w:tblPrEx>
        <w:trPr>
          <w:trHeight w:val="444"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国际会士</w:t>
            </w:r>
          </w:p>
        </w:tc>
        <w:tc>
          <w:tcPr>
            <w:tcW w:w="1536"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41</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广东省珠江人才</w:t>
            </w:r>
          </w:p>
        </w:tc>
        <w:tc>
          <w:tcPr>
            <w:tcW w:w="1419"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61</w:t>
            </w:r>
          </w:p>
        </w:tc>
      </w:tr>
      <w:tr>
        <w:tblPrEx>
          <w:tblCellMar>
            <w:top w:w="0" w:type="dxa"/>
            <w:left w:w="0" w:type="dxa"/>
            <w:bottom w:w="0" w:type="dxa"/>
            <w:right w:w="0" w:type="dxa"/>
          </w:tblCellMar>
        </w:tblPrEx>
        <w:trPr>
          <w:trHeight w:val="460"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262626"/>
                <w:kern w:val="0"/>
                <w:sz w:val="28"/>
                <w:szCs w:val="28"/>
              </w:rPr>
              <w:t>教育部特聘专家</w:t>
            </w:r>
          </w:p>
        </w:tc>
        <w:tc>
          <w:tcPr>
            <w:tcW w:w="1536"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31</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广东省特支计划</w:t>
            </w:r>
          </w:p>
        </w:tc>
        <w:tc>
          <w:tcPr>
            <w:tcW w:w="1419"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23</w:t>
            </w:r>
          </w:p>
        </w:tc>
      </w:tr>
      <w:tr>
        <w:tblPrEx>
          <w:tblCellMar>
            <w:top w:w="0" w:type="dxa"/>
            <w:left w:w="0" w:type="dxa"/>
            <w:bottom w:w="0" w:type="dxa"/>
            <w:right w:w="0" w:type="dxa"/>
          </w:tblCellMar>
        </w:tblPrEx>
        <w:trPr>
          <w:trHeight w:val="444"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杰出青年基金</w:t>
            </w:r>
          </w:p>
        </w:tc>
        <w:tc>
          <w:tcPr>
            <w:tcW w:w="1536"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33</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深圳市孔雀计划</w:t>
            </w:r>
          </w:p>
        </w:tc>
        <w:tc>
          <w:tcPr>
            <w:tcW w:w="141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617</w:t>
            </w:r>
          </w:p>
        </w:tc>
      </w:tr>
      <w:tr>
        <w:tblPrEx>
          <w:tblCellMar>
            <w:top w:w="0" w:type="dxa"/>
            <w:left w:w="0" w:type="dxa"/>
            <w:bottom w:w="0" w:type="dxa"/>
            <w:right w:w="0" w:type="dxa"/>
          </w:tblCellMar>
        </w:tblPrEx>
        <w:trPr>
          <w:trHeight w:val="634"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FF0000"/>
                <w:kern w:val="0"/>
                <w:sz w:val="28"/>
                <w:szCs w:val="28"/>
              </w:rPr>
              <w:t> </w:t>
            </w:r>
            <w:r>
              <w:rPr>
                <w:rFonts w:hint="eastAsia" w:ascii="仿宋" w:hAnsi="仿宋" w:eastAsia="仿宋" w:cs="仿宋"/>
                <w:color w:val="000000"/>
                <w:kern w:val="0"/>
                <w:sz w:val="28"/>
                <w:szCs w:val="28"/>
              </w:rPr>
              <w:t>国家特支计划</w:t>
            </w:r>
          </w:p>
        </w:tc>
        <w:tc>
          <w:tcPr>
            <w:tcW w:w="1536"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11</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深圳市高层次人才</w:t>
            </w:r>
          </w:p>
        </w:tc>
        <w:tc>
          <w:tcPr>
            <w:tcW w:w="1419"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203</w:t>
            </w:r>
          </w:p>
        </w:tc>
      </w:tr>
      <w:tr>
        <w:tblPrEx>
          <w:tblCellMar>
            <w:top w:w="0" w:type="dxa"/>
            <w:left w:w="0" w:type="dxa"/>
            <w:bottom w:w="0" w:type="dxa"/>
            <w:right w:w="0" w:type="dxa"/>
          </w:tblCellMar>
        </w:tblPrEx>
        <w:trPr>
          <w:trHeight w:val="444" w:hRule="atLeast"/>
          <w:tblCellSpacing w:w="0" w:type="dxa"/>
        </w:trPr>
        <w:tc>
          <w:tcPr>
            <w:tcW w:w="3229"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国务院特殊津贴</w:t>
            </w:r>
          </w:p>
        </w:tc>
        <w:tc>
          <w:tcPr>
            <w:tcW w:w="1536"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25</w:t>
            </w:r>
          </w:p>
        </w:tc>
        <w:tc>
          <w:tcPr>
            <w:tcW w:w="3288" w:type="dxa"/>
            <w:tcBorders>
              <w:top w:val="single" w:color="ED6C00" w:sz="6" w:space="0"/>
            </w:tcBorders>
            <w:noWrap w:val="0"/>
            <w:tcMar>
              <w:top w:w="69" w:type="dxa"/>
              <w:left w:w="138" w:type="dxa"/>
              <w:bottom w:w="69" w:type="dxa"/>
              <w:right w:w="138" w:type="dxa"/>
            </w:tcMar>
            <w:vAlign w:val="center"/>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鹏城学者</w:t>
            </w:r>
          </w:p>
        </w:tc>
        <w:tc>
          <w:tcPr>
            <w:tcW w:w="1419" w:type="dxa"/>
            <w:tcBorders>
              <w:top w:val="single" w:color="ED6C00" w:sz="6" w:space="0"/>
            </w:tcBorders>
            <w:noWrap w:val="0"/>
            <w:tcMar>
              <w:top w:w="69" w:type="dxa"/>
              <w:left w:w="138" w:type="dxa"/>
              <w:bottom w:w="69" w:type="dxa"/>
              <w:right w:w="138" w:type="dxa"/>
            </w:tcMar>
            <w:vAlign w:val="top"/>
          </w:tcPr>
          <w:p>
            <w:pPr>
              <w:keepNext w:val="0"/>
              <w:pageBreakBefore w:val="0"/>
              <w:widowControl/>
              <w:kinsoku/>
              <w:wordWrap/>
              <w:overflowPunct/>
              <w:topLinePunct w:val="0"/>
              <w:autoSpaceDE/>
              <w:autoSpaceDN/>
              <w:bidi w:val="0"/>
              <w:spacing w:beforeAutospacing="0" w:afterAutospacing="0" w:line="560" w:lineRule="exact"/>
              <w:jc w:val="left"/>
              <w:rPr>
                <w:rFonts w:hint="eastAsia" w:ascii="仿宋" w:hAnsi="仿宋" w:eastAsia="仿宋" w:cs="仿宋"/>
                <w:kern w:val="0"/>
                <w:sz w:val="28"/>
                <w:szCs w:val="28"/>
              </w:rPr>
            </w:pPr>
            <w:r>
              <w:rPr>
                <w:rFonts w:hint="eastAsia" w:ascii="仿宋" w:hAnsi="仿宋" w:eastAsia="仿宋" w:cs="仿宋"/>
                <w:b/>
                <w:color w:val="ED6C00"/>
                <w:kern w:val="0"/>
                <w:sz w:val="28"/>
                <w:szCs w:val="28"/>
              </w:rPr>
              <w:t>29</w:t>
            </w:r>
          </w:p>
        </w:tc>
      </w:tr>
    </w:tbl>
    <w:p>
      <w:pPr>
        <w:keepNext w:val="0"/>
        <w:pageBreakBefore w:val="0"/>
        <w:kinsoku/>
        <w:wordWrap/>
        <w:overflowPunct/>
        <w:topLinePunct w:val="0"/>
        <w:autoSpaceDE/>
        <w:autoSpaceDN/>
        <w:bidi w:val="0"/>
        <w:spacing w:beforeAutospacing="0" w:afterAutospacing="0" w:line="560" w:lineRule="exact"/>
        <w:rPr>
          <w:rFonts w:hint="eastAsia" w:ascii="仿宋" w:hAnsi="仿宋" w:eastAsia="仿宋" w:cs="仿宋"/>
          <w:sz w:val="28"/>
          <w:szCs w:val="28"/>
        </w:rPr>
      </w:pPr>
    </w:p>
    <w:p>
      <w:pPr>
        <w:keepNext w:val="0"/>
        <w:pageBreakBefore w:val="0"/>
        <w:kinsoku/>
        <w:wordWrap/>
        <w:overflowPunct/>
        <w:topLinePunct w:val="0"/>
        <w:autoSpaceDE/>
        <w:autoSpaceDN/>
        <w:bidi w:val="0"/>
        <w:spacing w:beforeAutospacing="0" w:afterAutospacing="0" w:line="560" w:lineRule="exact"/>
        <w:ind w:firstLine="640" w:firstLineChars="200"/>
        <w:rPr>
          <w:rFonts w:hint="eastAsia" w:ascii="黑体" w:hAnsi="黑体" w:eastAsia="黑体" w:cs="Times New Roman"/>
          <w:b w:val="0"/>
          <w:bCs w:val="0"/>
          <w:sz w:val="32"/>
          <w:szCs w:val="32"/>
        </w:rPr>
      </w:pPr>
      <w:r>
        <w:rPr>
          <w:rFonts w:hint="eastAsia" w:ascii="黑体" w:hAnsi="黑体" w:eastAsia="黑体" w:cs="Times New Roman"/>
          <w:b w:val="0"/>
          <w:bCs w:val="0"/>
          <w:sz w:val="32"/>
          <w:szCs w:val="32"/>
          <w:lang w:eastAsia="zh-CN"/>
        </w:rPr>
        <w:t>四</w:t>
      </w:r>
      <w:r>
        <w:rPr>
          <w:rFonts w:hint="eastAsia" w:ascii="黑体" w:hAnsi="黑体" w:eastAsia="黑体" w:cs="Times New Roman"/>
          <w:b w:val="0"/>
          <w:bCs w:val="0"/>
          <w:sz w:val="32"/>
          <w:szCs w:val="32"/>
        </w:rPr>
        <w:t>、项目管理团队介绍</w:t>
      </w:r>
    </w:p>
    <w:tbl>
      <w:tblPr>
        <w:tblStyle w:val="8"/>
        <w:tblW w:w="8375" w:type="dxa"/>
        <w:tblInd w:w="0" w:type="dxa"/>
        <w:tblLayout w:type="autofit"/>
        <w:tblCellMar>
          <w:top w:w="0" w:type="dxa"/>
          <w:left w:w="108" w:type="dxa"/>
          <w:bottom w:w="0" w:type="dxa"/>
          <w:right w:w="108" w:type="dxa"/>
        </w:tblCellMar>
      </w:tblPr>
      <w:tblGrid>
        <w:gridCol w:w="1819"/>
        <w:gridCol w:w="3934"/>
        <w:gridCol w:w="2622"/>
      </w:tblGrid>
      <w:tr>
        <w:tblPrEx>
          <w:tblCellMar>
            <w:top w:w="0" w:type="dxa"/>
            <w:left w:w="108" w:type="dxa"/>
            <w:bottom w:w="0" w:type="dxa"/>
            <w:right w:w="108" w:type="dxa"/>
          </w:tblCellMar>
        </w:tblPrEx>
        <w:trPr>
          <w:trHeight w:val="667" w:hRule="atLeast"/>
        </w:trPr>
        <w:tc>
          <w:tcPr>
            <w:tcW w:w="1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姓名</w:t>
            </w:r>
          </w:p>
        </w:tc>
        <w:tc>
          <w:tcPr>
            <w:tcW w:w="3934"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职责</w:t>
            </w:r>
          </w:p>
        </w:tc>
        <w:tc>
          <w:tcPr>
            <w:tcW w:w="2622" w:type="dxa"/>
            <w:tcBorders>
              <w:top w:val="single" w:color="auto" w:sz="4" w:space="0"/>
              <w:left w:val="nil"/>
              <w:bottom w:val="single" w:color="auto" w:sz="4" w:space="0"/>
              <w:right w:val="single" w:color="auto" w:sz="4" w:space="0"/>
            </w:tcBorders>
            <w:shd w:val="clear" w:color="auto" w:fill="auto"/>
            <w:vAlign w:val="center"/>
          </w:tcPr>
          <w:p>
            <w:pPr>
              <w:keepNext w:val="0"/>
              <w:pageBreakBefore w:val="0"/>
              <w:widowControl/>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简介</w:t>
            </w:r>
          </w:p>
        </w:tc>
      </w:tr>
      <w:tr>
        <w:tblPrEx>
          <w:tblCellMar>
            <w:top w:w="0" w:type="dxa"/>
            <w:left w:w="108" w:type="dxa"/>
            <w:bottom w:w="0" w:type="dxa"/>
            <w:right w:w="108" w:type="dxa"/>
          </w:tblCellMar>
        </w:tblPrEx>
        <w:trPr>
          <w:trHeight w:val="593"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王树勋</w:t>
            </w:r>
          </w:p>
        </w:tc>
        <w:tc>
          <w:tcPr>
            <w:tcW w:w="3934"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学术</w:t>
            </w:r>
            <w:r>
              <w:rPr>
                <w:rFonts w:hint="eastAsia" w:ascii="仿宋" w:hAnsi="仿宋" w:eastAsia="仿宋" w:cs="仿宋"/>
                <w:b/>
                <w:sz w:val="24"/>
                <w:szCs w:val="24"/>
              </w:rPr>
              <w:t>主任</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项目负责人</w:t>
            </w:r>
            <w:r>
              <w:rPr>
                <w:rFonts w:hint="eastAsia" w:ascii="仿宋" w:hAnsi="仿宋" w:eastAsia="仿宋" w:cs="仿宋"/>
                <w:b/>
                <w:sz w:val="24"/>
                <w:szCs w:val="24"/>
              </w:rPr>
              <w:t>：</w:t>
            </w:r>
          </w:p>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rPr>
              <w:t>负责项目开始前课程项目执行方案总策划、项目培训过程中的突出情况处理、项目完结后的跟踪回访等。</w:t>
            </w:r>
          </w:p>
        </w:tc>
        <w:tc>
          <w:tcPr>
            <w:tcW w:w="2622" w:type="dxa"/>
            <w:tcBorders>
              <w:top w:val="nil"/>
              <w:left w:val="nil"/>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南方科技大学金融系主任、讲席教授</w:t>
            </w: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593"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赵丹</w:t>
            </w:r>
          </w:p>
        </w:tc>
        <w:tc>
          <w:tcPr>
            <w:tcW w:w="3934"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b/>
                <w:sz w:val="24"/>
                <w:szCs w:val="24"/>
              </w:rPr>
            </w:pPr>
            <w:r>
              <w:rPr>
                <w:rFonts w:hint="eastAsia" w:ascii="仿宋" w:hAnsi="仿宋" w:eastAsia="仿宋" w:cs="仿宋"/>
                <w:b/>
                <w:sz w:val="24"/>
                <w:szCs w:val="24"/>
              </w:rPr>
              <w:t>班主任：</w:t>
            </w:r>
          </w:p>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负责协助班主任进行班级管理，包含培训课程的准备及实施，考勤监督、组织班级活动，学员评分系统记录等。</w:t>
            </w:r>
          </w:p>
        </w:tc>
        <w:tc>
          <w:tcPr>
            <w:tcW w:w="2622" w:type="dxa"/>
            <w:tcBorders>
              <w:top w:val="nil"/>
              <w:left w:val="nil"/>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南方科技大学金融系研究助理</w:t>
            </w:r>
          </w:p>
        </w:tc>
      </w:tr>
      <w:tr>
        <w:tblPrEx>
          <w:tblCellMar>
            <w:top w:w="0" w:type="dxa"/>
            <w:left w:w="108" w:type="dxa"/>
            <w:bottom w:w="0" w:type="dxa"/>
            <w:right w:w="108" w:type="dxa"/>
          </w:tblCellMar>
        </w:tblPrEx>
        <w:trPr>
          <w:trHeight w:val="593"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刘嘉琦</w:t>
            </w:r>
          </w:p>
        </w:tc>
        <w:tc>
          <w:tcPr>
            <w:tcW w:w="3934"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b/>
                <w:sz w:val="24"/>
                <w:szCs w:val="24"/>
              </w:rPr>
            </w:pPr>
            <w:r>
              <w:rPr>
                <w:rFonts w:hint="eastAsia" w:ascii="仿宋" w:hAnsi="仿宋" w:eastAsia="仿宋" w:cs="仿宋"/>
                <w:b/>
                <w:sz w:val="24"/>
                <w:szCs w:val="24"/>
              </w:rPr>
              <w:t>副班主任：</w:t>
            </w:r>
          </w:p>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负责协助班主任进行班级管理，包含培训课程的准备及实施，考勤监督、组织班级活动，学员评分系统记录等。</w:t>
            </w:r>
          </w:p>
        </w:tc>
        <w:tc>
          <w:tcPr>
            <w:tcW w:w="2622" w:type="dxa"/>
            <w:tcBorders>
              <w:top w:val="nil"/>
              <w:left w:val="nil"/>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南方科技大学访问学者</w:t>
            </w:r>
          </w:p>
        </w:tc>
      </w:tr>
      <w:tr>
        <w:tblPrEx>
          <w:tblCellMar>
            <w:top w:w="0" w:type="dxa"/>
            <w:left w:w="108" w:type="dxa"/>
            <w:bottom w:w="0" w:type="dxa"/>
            <w:right w:w="108" w:type="dxa"/>
          </w:tblCellMar>
        </w:tblPrEx>
        <w:trPr>
          <w:trHeight w:val="593" w:hRule="atLeast"/>
        </w:trPr>
        <w:tc>
          <w:tcPr>
            <w:tcW w:w="1819" w:type="dxa"/>
            <w:tcBorders>
              <w:top w:val="nil"/>
              <w:left w:val="single" w:color="auto" w:sz="4" w:space="0"/>
              <w:bottom w:val="nil"/>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丁宁</w:t>
            </w:r>
          </w:p>
        </w:tc>
        <w:tc>
          <w:tcPr>
            <w:tcW w:w="3934" w:type="dxa"/>
            <w:tcBorders>
              <w:top w:val="nil"/>
              <w:left w:val="single" w:color="auto" w:sz="4" w:space="0"/>
              <w:bottom w:val="nil"/>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b/>
                <w:sz w:val="24"/>
                <w:szCs w:val="24"/>
              </w:rPr>
            </w:pPr>
            <w:r>
              <w:rPr>
                <w:rFonts w:hint="eastAsia" w:ascii="仿宋" w:hAnsi="仿宋" w:eastAsia="仿宋" w:cs="仿宋"/>
                <w:b/>
                <w:sz w:val="24"/>
                <w:szCs w:val="24"/>
              </w:rPr>
              <w:t>教学老师：</w:t>
            </w:r>
          </w:p>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学员对课程的要求及时反馈给老师，协助老师调整课程框架及增加行业相关案例剖析，安排有针对性的课程讲义。</w:t>
            </w:r>
          </w:p>
        </w:tc>
        <w:tc>
          <w:tcPr>
            <w:tcW w:w="2622" w:type="dxa"/>
            <w:tcBorders>
              <w:top w:val="nil"/>
              <w:left w:val="nil"/>
              <w:bottom w:val="nil"/>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南方科技大学金融系研究助理</w:t>
            </w:r>
          </w:p>
        </w:tc>
      </w:tr>
      <w:tr>
        <w:tblPrEx>
          <w:tblCellMar>
            <w:top w:w="0" w:type="dxa"/>
            <w:left w:w="108" w:type="dxa"/>
            <w:bottom w:w="0" w:type="dxa"/>
            <w:right w:w="108" w:type="dxa"/>
          </w:tblCellMar>
        </w:tblPrEx>
        <w:trPr>
          <w:trHeight w:val="593" w:hRule="atLeast"/>
        </w:trPr>
        <w:tc>
          <w:tcPr>
            <w:tcW w:w="1819" w:type="dxa"/>
            <w:tcBorders>
              <w:top w:val="nil"/>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陈晓萍</w:t>
            </w:r>
          </w:p>
        </w:tc>
        <w:tc>
          <w:tcPr>
            <w:tcW w:w="3934" w:type="dxa"/>
            <w:tcBorders>
              <w:top w:val="nil"/>
              <w:left w:val="single" w:color="auto" w:sz="4" w:space="0"/>
              <w:bottom w:val="single" w:color="000000"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b/>
                <w:sz w:val="24"/>
                <w:szCs w:val="24"/>
              </w:rPr>
            </w:pPr>
            <w:r>
              <w:rPr>
                <w:rFonts w:hint="eastAsia" w:ascii="仿宋" w:hAnsi="仿宋" w:eastAsia="仿宋" w:cs="仿宋"/>
                <w:b/>
                <w:sz w:val="24"/>
                <w:szCs w:val="24"/>
              </w:rPr>
              <w:t>教务老师：</w:t>
            </w:r>
          </w:p>
          <w:p>
            <w:pPr>
              <w:keepNext w:val="0"/>
              <w:pageBreakBefore w:val="0"/>
              <w:kinsoku/>
              <w:wordWrap/>
              <w:overflowPunct/>
              <w:topLinePunct w:val="0"/>
              <w:autoSpaceDE/>
              <w:autoSpaceDN/>
              <w:bidi w:val="0"/>
              <w:spacing w:beforeAutospacing="0" w:afterAutospacing="0" w:line="5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负责安排教室、教学设备调试、茶歇、学习用品及学习资料准备等相关教学准备活动。</w:t>
            </w:r>
          </w:p>
        </w:tc>
        <w:tc>
          <w:tcPr>
            <w:tcW w:w="2622" w:type="dxa"/>
            <w:tcBorders>
              <w:top w:val="nil"/>
              <w:left w:val="nil"/>
              <w:bottom w:val="single" w:color="auto" w:sz="4" w:space="0"/>
              <w:right w:val="single" w:color="auto" w:sz="4" w:space="0"/>
            </w:tcBorders>
            <w:shd w:val="clear" w:color="auto" w:fill="auto"/>
            <w:vAlign w:val="center"/>
          </w:tcPr>
          <w:p>
            <w:pPr>
              <w:keepNext w:val="0"/>
              <w:pageBreakBefore w:val="0"/>
              <w:kinsoku/>
              <w:wordWrap/>
              <w:overflowPunct/>
              <w:topLinePunct w:val="0"/>
              <w:autoSpaceDE/>
              <w:autoSpaceDN/>
              <w:bidi w:val="0"/>
              <w:spacing w:beforeAutospacing="0" w:afterAutospacing="0" w:line="5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深圳南科大教育培训中心项目主管</w:t>
            </w:r>
          </w:p>
        </w:tc>
      </w:tr>
    </w:tbl>
    <w:p>
      <w:pPr>
        <w:pStyle w:val="2"/>
        <w:keepNext w:val="0"/>
        <w:pageBreakBefore w:val="0"/>
        <w:numPr>
          <w:ilvl w:val="0"/>
          <w:numId w:val="0"/>
        </w:numPr>
        <w:kinsoku/>
        <w:wordWrap/>
        <w:overflowPunct/>
        <w:topLinePunct w:val="0"/>
        <w:autoSpaceDE/>
        <w:autoSpaceDN/>
        <w:bidi w:val="0"/>
        <w:spacing w:beforeLines="0" w:beforeAutospacing="0" w:afterLines="0" w:afterAutospacing="0" w:line="560" w:lineRule="exact"/>
        <w:ind w:leftChars="0"/>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kinsoku/>
        <w:wordWrap/>
        <w:overflowPunct/>
        <w:topLinePunct w:val="0"/>
        <w:autoSpaceDE/>
        <w:autoSpaceDN/>
        <w:bidi w:val="0"/>
        <w:spacing w:beforeAutospacing="0" w:afterAutospacing="0" w:line="560" w:lineRule="exact"/>
        <w:rPr>
          <w:rFonts w:hint="eastAsia"/>
          <w:lang w:val="en-US" w:eastAsia="zh-CN"/>
        </w:rPr>
      </w:pPr>
    </w:p>
    <w:p>
      <w:pPr>
        <w:keepNext w:val="0"/>
        <w:pageBreakBefore w:val="0"/>
        <w:tabs>
          <w:tab w:val="left" w:pos="2650"/>
        </w:tabs>
        <w:kinsoku/>
        <w:wordWrap/>
        <w:overflowPunct/>
        <w:topLinePunct w:val="0"/>
        <w:autoSpaceDE/>
        <w:autoSpaceDN/>
        <w:bidi w:val="0"/>
        <w:spacing w:beforeAutospacing="0" w:afterAutospacing="0" w:line="560" w:lineRule="exact"/>
        <w:jc w:val="left"/>
        <w:rPr>
          <w:rFonts w:hint="eastAsia"/>
          <w:lang w:val="en-US" w:eastAsia="zh-CN"/>
        </w:rPr>
      </w:pPr>
      <w:r>
        <w:rPr>
          <w:rFonts w:hint="eastAsia"/>
          <w:lang w:val="en-US" w:eastAsia="zh-CN"/>
        </w:rPr>
        <w:tab/>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DF249-B65C-464F-8339-C3DB63757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25D5BEC-5C02-4858-BC59-59A2176E9658}"/>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3" w:fontKey="{4322AF98-57ED-44B1-BC13-8B8821BA98F3}"/>
  </w:font>
  <w:font w:name="仿宋_GB2312">
    <w:panose1 w:val="02010609030101010101"/>
    <w:charset w:val="86"/>
    <w:family w:val="modern"/>
    <w:pitch w:val="default"/>
    <w:sig w:usb0="00000001" w:usb1="080E0000" w:usb2="00000000" w:usb3="00000000" w:csb0="00040000" w:csb1="00000000"/>
    <w:embedRegular r:id="rId4" w:fontKey="{95DC261D-D966-4CE4-8E51-969ECC1EEDE6}"/>
  </w:font>
  <w:font w:name="楷体">
    <w:panose1 w:val="02010609060101010101"/>
    <w:charset w:val="86"/>
    <w:family w:val="modern"/>
    <w:pitch w:val="default"/>
    <w:sig w:usb0="800002BF" w:usb1="38CF7CFA" w:usb2="00000016" w:usb3="00000000" w:csb0="00040001" w:csb1="00000000"/>
    <w:embedRegular r:id="rId5" w:fontKey="{93C6FE4D-DF51-4F04-A623-A7C006C33CC9}"/>
  </w:font>
  <w:font w:name="仿宋">
    <w:panose1 w:val="02010609060101010101"/>
    <w:charset w:val="86"/>
    <w:family w:val="auto"/>
    <w:pitch w:val="default"/>
    <w:sig w:usb0="800002BF" w:usb1="38CF7CFA" w:usb2="00000016" w:usb3="00000000" w:csb0="00040001" w:csb1="00000000"/>
    <w:embedRegular r:id="rId6" w:fontKey="{1348141A-21C5-405C-8AA9-14FB130B95FC}"/>
  </w:font>
  <w:font w:name="方正小标宋简体">
    <w:panose1 w:val="03000509000000000000"/>
    <w:charset w:val="86"/>
    <w:family w:val="auto"/>
    <w:pitch w:val="default"/>
    <w:sig w:usb0="00000001" w:usb1="080E0000" w:usb2="00000000" w:usb3="00000000" w:csb0="00040000" w:csb1="00000000"/>
    <w:embedRegular r:id="rId7" w:fontKey="{B5292CF8-1283-4B0B-897D-0855B73A24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BDE63"/>
    <w:multiLevelType w:val="singleLevel"/>
    <w:tmpl w:val="E62BDE63"/>
    <w:lvl w:ilvl="0" w:tentative="0">
      <w:start w:val="2"/>
      <w:numFmt w:val="chineseCounting"/>
      <w:suff w:val="nothing"/>
      <w:lvlText w:val="%1、"/>
      <w:lvlJc w:val="left"/>
      <w:rPr>
        <w:rFonts w:hint="eastAsia"/>
      </w:r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YzEyOTZhNTg4MWZiM2E5ODAxMDVlMTFhZjc0ZWQifQ=="/>
  </w:docVars>
  <w:rsids>
    <w:rsidRoot w:val="00E05B87"/>
    <w:rsid w:val="00003B1F"/>
    <w:rsid w:val="000118E1"/>
    <w:rsid w:val="00045E3E"/>
    <w:rsid w:val="000A3BAE"/>
    <w:rsid w:val="000D33A1"/>
    <w:rsid w:val="000D5DDF"/>
    <w:rsid w:val="000E1F5C"/>
    <w:rsid w:val="000E6657"/>
    <w:rsid w:val="00100B87"/>
    <w:rsid w:val="001262EB"/>
    <w:rsid w:val="0013427E"/>
    <w:rsid w:val="00140863"/>
    <w:rsid w:val="0015050F"/>
    <w:rsid w:val="001B23FA"/>
    <w:rsid w:val="001E270E"/>
    <w:rsid w:val="001F0E3C"/>
    <w:rsid w:val="00226D89"/>
    <w:rsid w:val="002611BB"/>
    <w:rsid w:val="002673FB"/>
    <w:rsid w:val="00297FFC"/>
    <w:rsid w:val="002C0B8A"/>
    <w:rsid w:val="002E2E72"/>
    <w:rsid w:val="00361718"/>
    <w:rsid w:val="00382893"/>
    <w:rsid w:val="00392BF1"/>
    <w:rsid w:val="003A1D0F"/>
    <w:rsid w:val="003C3CD7"/>
    <w:rsid w:val="003C51D3"/>
    <w:rsid w:val="003C5624"/>
    <w:rsid w:val="003D16BE"/>
    <w:rsid w:val="003D2A3F"/>
    <w:rsid w:val="003F18E5"/>
    <w:rsid w:val="0040195F"/>
    <w:rsid w:val="00414295"/>
    <w:rsid w:val="0042791E"/>
    <w:rsid w:val="004559FA"/>
    <w:rsid w:val="004603EC"/>
    <w:rsid w:val="00483837"/>
    <w:rsid w:val="004E3DE7"/>
    <w:rsid w:val="00503F72"/>
    <w:rsid w:val="00506945"/>
    <w:rsid w:val="00534C7A"/>
    <w:rsid w:val="0054125E"/>
    <w:rsid w:val="00552E47"/>
    <w:rsid w:val="00555FEA"/>
    <w:rsid w:val="00560A31"/>
    <w:rsid w:val="00595B15"/>
    <w:rsid w:val="005F1924"/>
    <w:rsid w:val="00603576"/>
    <w:rsid w:val="00630D75"/>
    <w:rsid w:val="00637CC2"/>
    <w:rsid w:val="00666D80"/>
    <w:rsid w:val="006D6EF1"/>
    <w:rsid w:val="0070569B"/>
    <w:rsid w:val="0073299E"/>
    <w:rsid w:val="00777EA7"/>
    <w:rsid w:val="007943B4"/>
    <w:rsid w:val="007B362B"/>
    <w:rsid w:val="007D73E8"/>
    <w:rsid w:val="008027A7"/>
    <w:rsid w:val="00807401"/>
    <w:rsid w:val="00820558"/>
    <w:rsid w:val="00841C5C"/>
    <w:rsid w:val="00844B7B"/>
    <w:rsid w:val="008478C3"/>
    <w:rsid w:val="00866DA6"/>
    <w:rsid w:val="00890AA9"/>
    <w:rsid w:val="008B1974"/>
    <w:rsid w:val="008B26B5"/>
    <w:rsid w:val="008B4469"/>
    <w:rsid w:val="008F1486"/>
    <w:rsid w:val="008F784F"/>
    <w:rsid w:val="009175F3"/>
    <w:rsid w:val="009904D9"/>
    <w:rsid w:val="009B0FEE"/>
    <w:rsid w:val="009C533E"/>
    <w:rsid w:val="00A13EB1"/>
    <w:rsid w:val="00A51D12"/>
    <w:rsid w:val="00A56F7F"/>
    <w:rsid w:val="00B12800"/>
    <w:rsid w:val="00B52234"/>
    <w:rsid w:val="00B52DB6"/>
    <w:rsid w:val="00B55063"/>
    <w:rsid w:val="00B92030"/>
    <w:rsid w:val="00BD5D4A"/>
    <w:rsid w:val="00C02F9E"/>
    <w:rsid w:val="00C354DC"/>
    <w:rsid w:val="00C8494F"/>
    <w:rsid w:val="00C86C89"/>
    <w:rsid w:val="00CA6625"/>
    <w:rsid w:val="00CC006F"/>
    <w:rsid w:val="00CD2ECF"/>
    <w:rsid w:val="00CE2470"/>
    <w:rsid w:val="00D155BD"/>
    <w:rsid w:val="00D225DC"/>
    <w:rsid w:val="00D52676"/>
    <w:rsid w:val="00D660DB"/>
    <w:rsid w:val="00D9001C"/>
    <w:rsid w:val="00DC06AC"/>
    <w:rsid w:val="00DC400B"/>
    <w:rsid w:val="00DF5FD6"/>
    <w:rsid w:val="00E037A7"/>
    <w:rsid w:val="00E05B87"/>
    <w:rsid w:val="00E8137A"/>
    <w:rsid w:val="00E94412"/>
    <w:rsid w:val="00EC4F8F"/>
    <w:rsid w:val="00EF332A"/>
    <w:rsid w:val="00F0696A"/>
    <w:rsid w:val="00F41C45"/>
    <w:rsid w:val="00F549F2"/>
    <w:rsid w:val="00F549F4"/>
    <w:rsid w:val="00F8182B"/>
    <w:rsid w:val="00F85D50"/>
    <w:rsid w:val="00FB5E12"/>
    <w:rsid w:val="00FC64C0"/>
    <w:rsid w:val="00FC6C07"/>
    <w:rsid w:val="01163A7D"/>
    <w:rsid w:val="018A50FF"/>
    <w:rsid w:val="01BC39EC"/>
    <w:rsid w:val="06571A46"/>
    <w:rsid w:val="069468A4"/>
    <w:rsid w:val="06BF75C9"/>
    <w:rsid w:val="08F4778E"/>
    <w:rsid w:val="095D64F2"/>
    <w:rsid w:val="0AE20145"/>
    <w:rsid w:val="0C324B95"/>
    <w:rsid w:val="0C8D3AA0"/>
    <w:rsid w:val="0D3F0B3D"/>
    <w:rsid w:val="0F424048"/>
    <w:rsid w:val="0F9C5147"/>
    <w:rsid w:val="115D0AF0"/>
    <w:rsid w:val="11F84B98"/>
    <w:rsid w:val="11FD4730"/>
    <w:rsid w:val="12992F12"/>
    <w:rsid w:val="133A66A8"/>
    <w:rsid w:val="13583467"/>
    <w:rsid w:val="13F6294C"/>
    <w:rsid w:val="158B10A5"/>
    <w:rsid w:val="16592BB5"/>
    <w:rsid w:val="176531A5"/>
    <w:rsid w:val="176A1687"/>
    <w:rsid w:val="17F00513"/>
    <w:rsid w:val="182F122F"/>
    <w:rsid w:val="184B2BC3"/>
    <w:rsid w:val="18593F84"/>
    <w:rsid w:val="193B2D9C"/>
    <w:rsid w:val="19C703B7"/>
    <w:rsid w:val="19D062BA"/>
    <w:rsid w:val="1B0A28BE"/>
    <w:rsid w:val="1D0039EE"/>
    <w:rsid w:val="1DC70CCB"/>
    <w:rsid w:val="1EA345FB"/>
    <w:rsid w:val="1F2E6729"/>
    <w:rsid w:val="20C44971"/>
    <w:rsid w:val="210C1A01"/>
    <w:rsid w:val="213750A5"/>
    <w:rsid w:val="237E3C00"/>
    <w:rsid w:val="26E30140"/>
    <w:rsid w:val="27346C98"/>
    <w:rsid w:val="29024F64"/>
    <w:rsid w:val="29542197"/>
    <w:rsid w:val="295D68B3"/>
    <w:rsid w:val="29E87AC0"/>
    <w:rsid w:val="2A263795"/>
    <w:rsid w:val="2BDF2700"/>
    <w:rsid w:val="2C7257ED"/>
    <w:rsid w:val="2CC52089"/>
    <w:rsid w:val="2CCB191D"/>
    <w:rsid w:val="2D524193"/>
    <w:rsid w:val="2D70630A"/>
    <w:rsid w:val="2DC8262F"/>
    <w:rsid w:val="2E4B62C1"/>
    <w:rsid w:val="2EE33704"/>
    <w:rsid w:val="2F5F153D"/>
    <w:rsid w:val="306E3B3E"/>
    <w:rsid w:val="30816709"/>
    <w:rsid w:val="30E06C23"/>
    <w:rsid w:val="30FC5119"/>
    <w:rsid w:val="35D361D9"/>
    <w:rsid w:val="37EA7098"/>
    <w:rsid w:val="38B101FE"/>
    <w:rsid w:val="38B214B8"/>
    <w:rsid w:val="3A9A3A97"/>
    <w:rsid w:val="3AF97BDE"/>
    <w:rsid w:val="3BD5009B"/>
    <w:rsid w:val="3D603F1B"/>
    <w:rsid w:val="41917F4D"/>
    <w:rsid w:val="42F07140"/>
    <w:rsid w:val="434464FB"/>
    <w:rsid w:val="44623DD6"/>
    <w:rsid w:val="46B16F84"/>
    <w:rsid w:val="47CD163B"/>
    <w:rsid w:val="48772B7A"/>
    <w:rsid w:val="488A6B5F"/>
    <w:rsid w:val="49AE14C9"/>
    <w:rsid w:val="4A206345"/>
    <w:rsid w:val="4C2D48D3"/>
    <w:rsid w:val="4C9D70AF"/>
    <w:rsid w:val="50DE6667"/>
    <w:rsid w:val="510F05CE"/>
    <w:rsid w:val="52D12258"/>
    <w:rsid w:val="55E8728D"/>
    <w:rsid w:val="57D32D39"/>
    <w:rsid w:val="587E3684"/>
    <w:rsid w:val="58925F17"/>
    <w:rsid w:val="59673F04"/>
    <w:rsid w:val="5CA50038"/>
    <w:rsid w:val="5F9572BA"/>
    <w:rsid w:val="60F11CCF"/>
    <w:rsid w:val="61F84905"/>
    <w:rsid w:val="634E7BE4"/>
    <w:rsid w:val="64C028D4"/>
    <w:rsid w:val="64FE4CEB"/>
    <w:rsid w:val="65F5506C"/>
    <w:rsid w:val="68381385"/>
    <w:rsid w:val="69A63C5D"/>
    <w:rsid w:val="69E940B9"/>
    <w:rsid w:val="69FD71BE"/>
    <w:rsid w:val="6B493ED1"/>
    <w:rsid w:val="6CF653A5"/>
    <w:rsid w:val="6E185A80"/>
    <w:rsid w:val="6FCC7DD9"/>
    <w:rsid w:val="7068371D"/>
    <w:rsid w:val="71724535"/>
    <w:rsid w:val="718C1369"/>
    <w:rsid w:val="7256215A"/>
    <w:rsid w:val="727959DA"/>
    <w:rsid w:val="72A526E9"/>
    <w:rsid w:val="739A770B"/>
    <w:rsid w:val="757A7B9F"/>
    <w:rsid w:val="77395F4F"/>
    <w:rsid w:val="78491E51"/>
    <w:rsid w:val="7A3D4815"/>
    <w:rsid w:val="7ABB08A8"/>
    <w:rsid w:val="7BD17833"/>
    <w:rsid w:val="7E1D5A38"/>
    <w:rsid w:val="7FB8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styleId="12">
    <w:name w:val="Emphasis"/>
    <w:basedOn w:val="10"/>
    <w:qFormat/>
    <w:uiPriority w:val="20"/>
    <w:rPr>
      <w:i/>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0"/>
    <w:rPr>
      <w:rFonts w:ascii="Times New Roman" w:hAnsi="Times New Roman" w:eastAsia="幼圆" w:cs="Times New Roman"/>
      <w:b/>
      <w:bCs/>
      <w:color w:val="C00000"/>
      <w:kern w:val="44"/>
      <w:sz w:val="32"/>
    </w:rPr>
  </w:style>
  <w:style w:type="character" w:customStyle="1" w:styleId="17">
    <w:name w:val="标题 2 字符"/>
    <w:basedOn w:val="10"/>
    <w:link w:val="3"/>
    <w:semiHidden/>
    <w:qFormat/>
    <w:uiPriority w:val="9"/>
    <w:rPr>
      <w:rFonts w:asciiTheme="majorHAnsi" w:hAnsiTheme="majorHAnsi" w:eastAsiaTheme="majorEastAsia" w:cstheme="majorBidi"/>
      <w:b/>
      <w:bCs/>
      <w:kern w:val="2"/>
      <w:sz w:val="32"/>
      <w:szCs w:val="32"/>
    </w:rPr>
  </w:style>
  <w:style w:type="paragraph" w:customStyle="1" w:styleId="18">
    <w:name w:val="正文新建"/>
    <w:basedOn w:val="1"/>
    <w:qFormat/>
    <w:uiPriority w:val="0"/>
    <w:pPr>
      <w:widowControl/>
      <w:tabs>
        <w:tab w:val="left" w:pos="143"/>
      </w:tabs>
      <w:adjustRightInd w:val="0"/>
      <w:snapToGrid w:val="0"/>
      <w:spacing w:line="360" w:lineRule="auto"/>
      <w:ind w:firstLine="420" w:firstLineChars="200"/>
      <w:jc w:val="left"/>
      <w:textAlignment w:val="baseline"/>
    </w:pPr>
    <w:rPr>
      <w:rFonts w:ascii="微软雅黑" w:hAnsi="微软雅黑" w:eastAsia="微软雅黑"/>
      <w:color w:val="262626"/>
      <w:kern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3325</Words>
  <Characters>3449</Characters>
  <Lines>9</Lines>
  <Paragraphs>2</Paragraphs>
  <TotalTime>59</TotalTime>
  <ScaleCrop>false</ScaleCrop>
  <LinksUpToDate>false</LinksUpToDate>
  <CharactersWithSpaces>3457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2022-06-16T14:34:00Z</dcterms:created>
  <dc:creator>sysu</dc:creator>
  <cp:lastModifiedBy>ming</cp:lastModifiedBy>
  <dcterms:modified xsi:type="dcterms:W3CDTF">2022-09-13T06:53:57Z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4A46A1F962534587A30AB8247D413FEC</vt:lpwstr>
  </property>
</Properties>
</file>