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right="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lang w:eastAsia="zh-CN"/>
        </w:rPr>
      </w:pPr>
      <w:r>
        <w:rPr>
          <w:rFonts w:hint="eastAsia" w:asciiTheme="minorEastAsia" w:hAnsiTheme="minorEastAsia" w:eastAsiaTheme="minorEastAsia" w:cstheme="minorEastAsia"/>
          <w:i w:val="0"/>
          <w:iCs w:val="0"/>
          <w:caps w:val="0"/>
          <w:color w:val="auto"/>
          <w:spacing w:val="0"/>
          <w:sz w:val="32"/>
          <w:szCs w:val="32"/>
          <w:shd w:val="clear" w:fill="FFFFFF"/>
          <w:lang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广东省市场监督管理局关于开展第九届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广东专利奖评选的通知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600" w:lineRule="atLeast"/>
        <w:ind w:left="0" w:right="0" w:firstLine="0"/>
        <w:jc w:val="center"/>
        <w:textAlignment w:val="auto"/>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粤市监知促〔2021〕532号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省政府有关部门、直属机构、中直驻粤单位，各地级以上市市场监管局，省级相关行业协会、具备推荐或自荐资格的其他单位和个人：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rPr>
      </w:pPr>
      <w:r>
        <w:rPr>
          <w:rFonts w:hint="eastAsia" w:asciiTheme="minorEastAsia" w:hAnsiTheme="minorEastAsia" w:eastAsiaTheme="minorEastAsia" w:cstheme="minorEastAsia"/>
          <w:i w:val="0"/>
          <w:iCs w:val="0"/>
          <w:caps w:val="0"/>
          <w:color w:val="auto"/>
          <w:spacing w:val="0"/>
          <w:sz w:val="32"/>
          <w:szCs w:val="32"/>
          <w:shd w:val="clear" w:fill="FFFFFF"/>
        </w:rPr>
        <w:t>为激励创新，强化知识产权创造、保护和运用，推动高质量发展和引领型知识产权强省建设，根据《广东省专利奖励办法》（广东省人民政府令第258号）及《广东省市场监督管理局关于广东省专利奖励办法的实施细则》（粤市监规字〔2019〕3号），组织开展第九届广东专利奖评选工作。请根据《第九届广东专利奖申报指南》的有关要求，做好广东专利奖的申报和推荐等有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jc w:val="both"/>
        <w:textAlignment w:val="auto"/>
        <w:rPr>
          <w:rFonts w:hint="eastAsia" w:asciiTheme="minorEastAsia" w:hAnsiTheme="minorEastAsia" w:cstheme="minorEastAsia"/>
          <w:i w:val="0"/>
          <w:iCs w:val="0"/>
          <w:caps w:val="0"/>
          <w:color w:val="auto"/>
          <w:spacing w:val="0"/>
          <w:sz w:val="32"/>
          <w:szCs w:val="32"/>
          <w:shd w:val="clear" w:fill="FFFFFF"/>
          <w:lang w:eastAsia="zh-CN"/>
        </w:rPr>
      </w:pPr>
      <w:r>
        <w:rPr>
          <w:rFonts w:hint="eastAsia" w:asciiTheme="minorEastAsia" w:hAnsiTheme="minorEastAsia" w:cstheme="minorEastAsia"/>
          <w:i w:val="0"/>
          <w:iCs w:val="0"/>
          <w:caps w:val="0"/>
          <w:color w:val="auto"/>
          <w:spacing w:val="0"/>
          <w:sz w:val="32"/>
          <w:szCs w:val="32"/>
          <w:shd w:val="clear" w:fill="FFFFFF"/>
          <w:lang w:eastAsia="zh-CN"/>
        </w:rPr>
        <w:t>附件：第九届广东专利奖申报指南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jc w:val="both"/>
        <w:textAlignment w:val="auto"/>
        <w:rPr>
          <w:rFonts w:hint="eastAsia" w:asciiTheme="minorEastAsia" w:hAnsiTheme="minorEastAsia" w:cstheme="minorEastAsia"/>
          <w:i w:val="0"/>
          <w:iCs w:val="0"/>
          <w:caps w:val="0"/>
          <w:color w:val="auto"/>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jc w:val="both"/>
        <w:textAlignment w:val="auto"/>
        <w:rPr>
          <w:rFonts w:hint="eastAsia" w:asciiTheme="minorEastAsia" w:hAnsiTheme="minorEastAsia" w:cstheme="minorEastAsia"/>
          <w:i w:val="0"/>
          <w:iCs w:val="0"/>
          <w:caps w:val="0"/>
          <w:color w:val="auto"/>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righ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广东省市场监督管理局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640"/>
        <w:jc w:val="right"/>
        <w:rPr>
          <w:rFonts w:hint="eastAsia" w:asciiTheme="minorEastAsia" w:hAnsiTheme="minorEastAsia" w:eastAsiaTheme="minorEastAsia" w:cstheme="minorEastAsia"/>
          <w:i w:val="0"/>
          <w:iCs w:val="0"/>
          <w:caps w:val="0"/>
          <w:color w:val="333333"/>
          <w:spacing w:val="0"/>
          <w:sz w:val="32"/>
          <w:szCs w:val="32"/>
          <w:shd w:val="clear" w:fill="FFFFFF"/>
        </w:rPr>
      </w:pPr>
      <w:r>
        <w:rPr>
          <w:rFonts w:hint="eastAsia" w:asciiTheme="minorEastAsia" w:hAnsiTheme="minorEastAsia" w:eastAsiaTheme="minorEastAsia" w:cstheme="minorEastAsia"/>
          <w:i w:val="0"/>
          <w:iCs w:val="0"/>
          <w:caps w:val="0"/>
          <w:color w:val="auto"/>
          <w:spacing w:val="0"/>
          <w:sz w:val="32"/>
          <w:szCs w:val="32"/>
          <w:shd w:val="clear" w:fill="FFFFFF"/>
        </w:rPr>
        <w:t>2021年11月30日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right="0"/>
        <w:jc w:val="both"/>
        <w:textAlignment w:val="auto"/>
        <w:rPr>
          <w:rFonts w:hint="eastAsia" w:asciiTheme="majorEastAsia" w:hAnsiTheme="majorEastAsia" w:eastAsiaTheme="majorEastAsia" w:cstheme="majorEastAsia"/>
          <w:i w:val="0"/>
          <w:iCs w:val="0"/>
          <w:caps w:val="0"/>
          <w:color w:val="auto"/>
          <w:spacing w:val="0"/>
          <w:sz w:val="32"/>
          <w:szCs w:val="32"/>
          <w:shd w:val="clear" w:fill="FFFFFF"/>
        </w:rPr>
      </w:pPr>
      <w:r>
        <w:rPr>
          <w:rFonts w:hint="eastAsia" w:asciiTheme="minorEastAsia" w:hAnsiTheme="minorEastAsia" w:eastAsiaTheme="minorEastAsia" w:cstheme="minorEastAsia"/>
          <w:i w:val="0"/>
          <w:iCs w:val="0"/>
          <w:caps w:val="0"/>
          <w:color w:val="auto"/>
          <w:spacing w:val="0"/>
          <w:sz w:val="32"/>
          <w:szCs w:val="32"/>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Theme="majorEastAsia" w:hAnsiTheme="majorEastAsia" w:eastAsiaTheme="majorEastAsia" w:cstheme="majorEastAsia"/>
          <w:b/>
          <w:bCs/>
          <w:color w:val="000000"/>
          <w:kern w:val="44"/>
          <w:sz w:val="32"/>
          <w:szCs w:val="32"/>
          <w:lang w:val="en-US" w:eastAsia="zh-CN" w:bidi="ar"/>
        </w:rPr>
      </w:pPr>
      <w:r>
        <w:rPr>
          <w:rFonts w:hint="eastAsia" w:asciiTheme="majorEastAsia" w:hAnsiTheme="majorEastAsia" w:eastAsiaTheme="majorEastAsia" w:cstheme="majorEastAsia"/>
          <w:b/>
          <w:bCs/>
          <w:color w:val="000000"/>
          <w:kern w:val="44"/>
          <w:sz w:val="44"/>
          <w:szCs w:val="44"/>
          <w:lang w:val="en-US" w:eastAsia="zh-CN" w:bidi="ar"/>
        </w:rPr>
        <w:t>第九届广东专利奖申报指南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b/>
          <w:bCs/>
          <w:color w:val="000000"/>
          <w:kern w:val="44"/>
          <w:sz w:val="32"/>
          <w:szCs w:val="32"/>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2"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Style w:val="6"/>
          <w:rFonts w:hint="eastAsia" w:asciiTheme="minorEastAsia" w:hAnsiTheme="minorEastAsia" w:eastAsiaTheme="minorEastAsia" w:cstheme="minorEastAsia"/>
          <w:i w:val="0"/>
          <w:iCs w:val="0"/>
          <w:caps w:val="0"/>
          <w:color w:val="auto"/>
          <w:spacing w:val="0"/>
          <w:sz w:val="32"/>
          <w:szCs w:val="32"/>
          <w:shd w:val="clear" w:fill="FFFFFF"/>
        </w:rPr>
        <w:t>一、广东专利奖奖项设置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rPr>
      </w:pPr>
      <w:r>
        <w:rPr>
          <w:rFonts w:hint="eastAsia" w:asciiTheme="minorEastAsia" w:hAnsiTheme="minorEastAsia" w:eastAsiaTheme="minorEastAsia" w:cstheme="minorEastAsia"/>
          <w:i w:val="0"/>
          <w:iCs w:val="0"/>
          <w:caps w:val="0"/>
          <w:color w:val="auto"/>
          <w:spacing w:val="0"/>
          <w:sz w:val="32"/>
          <w:szCs w:val="32"/>
          <w:shd w:val="clear" w:fill="FFFFFF"/>
        </w:rPr>
        <w:t>广东专利奖授奖实行限额制，广东专利金奖数量不超过20项，广东专利银奖不超过40项，广东专利优秀奖不超过60项，其中授予发明专利的奖项均不少于同类别奖项的70%；广东杰出发明人奖不超过10项。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Theme="minorEastAsia" w:hAnsiTheme="minorEastAsia" w:eastAsiaTheme="minorEastAsia" w:cstheme="minorEastAsia"/>
          <w:i w:val="0"/>
          <w:iCs w:val="0"/>
          <w:caps w:val="0"/>
          <w:color w:val="auto"/>
          <w:spacing w:val="0"/>
          <w:sz w:val="32"/>
          <w:szCs w:val="32"/>
        </w:rPr>
      </w:pPr>
      <w:r>
        <w:rPr>
          <w:rStyle w:val="6"/>
          <w:rFonts w:hint="eastAsia" w:asciiTheme="minorEastAsia" w:hAnsiTheme="minorEastAsia" w:eastAsiaTheme="minorEastAsia" w:cstheme="minorEastAsia"/>
          <w:i w:val="0"/>
          <w:iCs w:val="0"/>
          <w:caps w:val="0"/>
          <w:color w:val="auto"/>
          <w:spacing w:val="0"/>
          <w:sz w:val="32"/>
          <w:szCs w:val="32"/>
          <w:shd w:val="clear" w:fill="FFFFFF"/>
        </w:rPr>
        <w:t>二、申报条件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（一）广东专利金奖、银奖、优秀奖申报条件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1．申报单位为在本省行政区域内登记注册、具备独立法人资格的专利权人或者实施单位；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2．申报专利在开展评选活动通知发文日前一个月，已获得国家知识产权局授予专利权的发明、实用新型或外观设计专利（不含国防专利和保密专利）；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3．该专利权有效、稳定，不存在专利权属纠纷、发明人或者设计人纠纷，专利权也未处于无效宣告请求程序中；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4．该专利创新性强、技术水平高或者设计独特，实施后取得显著的经济效益或者社会效益；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5．该专利技术及其产品符合国家和省的产业及环保政策；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6．针对该专利有相对完善的保护措施；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7．该专利未获得过中国专利奖或者广东专利奖；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8．各申报单位同一技术领域申报项目数量不超过2项。发明实用新型项目按照国际专利分类法（IPC分类）分为机械、光电、材料、电学、通信、化学及医药7个专业组，外观设计单独设组。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（二）广东杰出发明人申报条件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1．申报人为本省行政区域内常住的中国专利发明人或者设计人；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2．拥护党和国家的路线方针政策，遵纪守法，具有良好的社会道德和职业道德；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3．申报人从事技术创新工作。仅从事组织管理和辅助服务的人员，不得作为广东杰出发明人奖的候选人；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4．申报人具有较强创新意识和较高的发明创造能力，并且为获得授权专利的第一发明人或者设计人；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5．专利已实施或运用，取得显著的经济效益、社会效益或者生态效益，对促进相关领域技术进步具有实质性贡献；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6．不存在专利权属纠纷或者发明人资格纠纷；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7．申报人未获得过广东杰出发明人（广东发明人）奖。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Style w:val="6"/>
          <w:rFonts w:hint="eastAsia" w:asciiTheme="minorEastAsia" w:hAnsiTheme="minorEastAsia" w:eastAsiaTheme="minorEastAsia" w:cstheme="minorEastAsia"/>
          <w:i w:val="0"/>
          <w:iCs w:val="0"/>
          <w:caps w:val="0"/>
          <w:color w:val="auto"/>
          <w:spacing w:val="0"/>
          <w:sz w:val="32"/>
          <w:szCs w:val="32"/>
          <w:shd w:val="clear" w:fill="FFFFFF"/>
        </w:rPr>
      </w:pPr>
      <w:r>
        <w:rPr>
          <w:rStyle w:val="6"/>
          <w:rFonts w:hint="eastAsia" w:asciiTheme="minorEastAsia" w:hAnsiTheme="minorEastAsia" w:eastAsiaTheme="minorEastAsia" w:cstheme="minorEastAsia"/>
          <w:i w:val="0"/>
          <w:iCs w:val="0"/>
          <w:caps w:val="0"/>
          <w:color w:val="auto"/>
          <w:spacing w:val="0"/>
          <w:sz w:val="32"/>
          <w:szCs w:val="32"/>
          <w:shd w:val="clear" w:fill="FFFFFF"/>
        </w:rPr>
        <w:t>三、申报材料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（一）广东专利金奖、银奖、优秀奖申报材料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1．《广东专利奖申报书（发明或实用新型专利项目）》或《广东专利奖申报书（外观设计专利项目）》；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2．专利证书；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3．专利公告的说明书，即授权公告时的扉页、权利要求书、说明书及其附图，或外观设计图；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4．专利登记簿副本，实用新型和外观设计专利还需提供独立的专利权评价报告或者新颖性检索报告；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5．实施单位单独申报时，要提供专利权人放弃申报的书面声明及对该专利享有合法实施权的文件，如专利实施许可合同及备案证明等；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6．专利权人或实施单位为两个或两个以上的，可以共同申报，或通过协商由部分单位申报，放弃申报的单位要提供放弃申报的声明；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7．经济效益证明，要加盖单位财务专用章，并提供相应的证明材料；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8．社会效益说明，要加单位公章，并提供相应的证明材料；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9．特殊产品的市场准入证明。特殊产品是指直接关系到人体健康、公共安全和公共利益的项目，如动物实验、食品、药品、基因工程技术和产品等；市场准入证明是指法律、行政法规规定必须取得有关许可证，在未获得</w:t>
      </w:r>
      <w:bookmarkStart w:id="0" w:name="_GoBack"/>
      <w:bookmarkEnd w:id="0"/>
      <w:r>
        <w:rPr>
          <w:rFonts w:hint="eastAsia" w:asciiTheme="minorEastAsia" w:hAnsiTheme="minorEastAsia" w:cstheme="minorEastAsia"/>
          <w:i w:val="0"/>
          <w:iCs w:val="0"/>
          <w:caps w:val="0"/>
          <w:color w:val="auto"/>
          <w:spacing w:val="0"/>
          <w:sz w:val="32"/>
          <w:szCs w:val="32"/>
          <w:shd w:val="clear" w:fill="FFFFFF"/>
          <w:lang w:eastAsia="zh-CN"/>
        </w:rPr>
        <w:t>行政主管部门</w:t>
      </w:r>
      <w:r>
        <w:rPr>
          <w:rFonts w:hint="eastAsia" w:asciiTheme="minorEastAsia" w:hAnsiTheme="minorEastAsia" w:eastAsiaTheme="minorEastAsia" w:cstheme="minorEastAsia"/>
          <w:i w:val="0"/>
          <w:iCs w:val="0"/>
          <w:caps w:val="0"/>
          <w:color w:val="auto"/>
          <w:spacing w:val="0"/>
          <w:sz w:val="32"/>
          <w:szCs w:val="32"/>
          <w:shd w:val="clear" w:fill="FFFFFF"/>
        </w:rPr>
        <w:t>批准之前，不得申报广东专利奖；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10．外观设计专利产品的样品或实物照片；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11．申报单位为企业的，要提供营业执照；申报单位为科研机构或高等院校等事业单位的，要提供组织机构代码证；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12．申报人认为需要的其他材料，如获得资助、获奖、商誉情况等。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（二）广东杰出发明人申报材料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1．《广东专利奖申报书（广东杰出发明人）》；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2．申报人身份证明材料，包括身份证、居住证等；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3．专利证书及专利登记簿副本；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4．申报人从事技术创新工作的履历及继续从事技术创新工作的证明，需加盖单位公章；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5．专利技术经济效益证明，要加盖单位的财务专用章，重点说明销售额、利税、出口额等经济指标；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6．专利技术社会效益说明，要加盖出具单位的公章，并提供相应的证明材料；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7．专利技术生态效益及促进相关领域技术进步的证明材料；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8．申报人认为需要的其他材料，如获得课题资助、获奖情况等。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w:t>
      </w:r>
      <w:r>
        <w:rPr>
          <w:rStyle w:val="6"/>
          <w:rFonts w:hint="eastAsia" w:asciiTheme="minorEastAsia" w:hAnsiTheme="minorEastAsia" w:eastAsiaTheme="minorEastAsia" w:cstheme="minorEastAsia"/>
          <w:i w:val="0"/>
          <w:iCs w:val="0"/>
          <w:caps w:val="0"/>
          <w:color w:val="auto"/>
          <w:spacing w:val="0"/>
          <w:sz w:val="32"/>
          <w:szCs w:val="32"/>
          <w:shd w:val="clear" w:fill="FFFFFF"/>
        </w:rPr>
        <w:t>　四、申报与推荐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（一）具备推荐及自荐资格的单位及个人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申报广东专利奖，采取推荐与自荐相结合方式。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1．下列单位或者个人可以推荐参评项目和发明人：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省人民政府有关部门、直属机构、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2．国家级知识产权示范企业可以自荐1项参评项目。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3．发明人有5年以上技术创新工作经历且目前仍在技术创新工作一线，作为第一发明人的有效发明专利20件以上的，可以自荐广东杰出发明人。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4．获得第一至第三届“粤港澳大湾区高价值专利培育布局大赛”50强的广东省内项目，其核心专利可由各地市市场监管局在同等条件下优先推荐。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（二）广东专利金奖、银奖、优秀奖申报推荐程序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申报广东专利金奖、银奖、优秀奖通过“广东专利奖申报与评审系统”（以下称评奖系统）完成，不再提交纸质申报材料。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1</w:t>
      </w:r>
      <w:r>
        <w:rPr>
          <w:rFonts w:hint="eastAsia" w:asciiTheme="minorEastAsia" w:hAnsiTheme="minorEastAsia" w:cstheme="minorEastAsia"/>
          <w:i w:val="0"/>
          <w:iCs w:val="0"/>
          <w:caps w:val="0"/>
          <w:color w:val="auto"/>
          <w:spacing w:val="0"/>
          <w:sz w:val="32"/>
          <w:szCs w:val="32"/>
          <w:shd w:val="clear" w:fill="FFFFFF"/>
          <w:lang w:val="en-US" w:eastAsia="zh-CN"/>
        </w:rPr>
        <w:t>.</w:t>
      </w:r>
      <w:r>
        <w:rPr>
          <w:rFonts w:hint="eastAsia" w:asciiTheme="minorEastAsia" w:hAnsiTheme="minorEastAsia" w:eastAsiaTheme="minorEastAsia" w:cstheme="minorEastAsia"/>
          <w:i w:val="0"/>
          <w:iCs w:val="0"/>
          <w:caps w:val="0"/>
          <w:color w:val="auto"/>
          <w:spacing w:val="0"/>
          <w:sz w:val="32"/>
          <w:szCs w:val="32"/>
          <w:shd w:val="clear" w:fill="FFFFFF"/>
        </w:rPr>
        <w:t>申报。登录“广东政务服务网”（http://www.gdzwfw.gov.cn），在顶行点击“切换”，选择部门“省市场监管局”，进入“广东省市场监督管理局网上服务窗口”；或者通过以下网络链接直接进入该服务窗口：http://www.gdzwfw.gov.cn/portal/branch-hall?orgCode=MB2D02343进入“广东省市场监督管理局网上服务窗口”页面后，请选择页面右侧“广东专利奖申报与评审系统”，以“申报单位”登录系统，按系统提示完成申报书填写及附件上传，选择推荐单位（院士或自荐单位），提交材料到推荐、自荐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截止时间为2021年12月27日（星期一）24:00，逾期专利评奖系统“申报”功能关闭。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2．推荐或自荐</w:t>
      </w:r>
      <w:r>
        <w:rPr>
          <w:rFonts w:hint="eastAsia" w:asciiTheme="minorEastAsia" w:hAnsiTheme="minorEastAsia" w:cstheme="minorEastAsia"/>
          <w:i w:val="0"/>
          <w:iCs w:val="0"/>
          <w:caps w:val="0"/>
          <w:color w:val="auto"/>
          <w:spacing w:val="0"/>
          <w:sz w:val="32"/>
          <w:szCs w:val="32"/>
          <w:shd w:val="clear" w:fill="FFFFFF"/>
          <w:lang w:eastAsia="zh-CN"/>
        </w:rPr>
        <w:t>。</w:t>
      </w:r>
      <w:r>
        <w:rPr>
          <w:rFonts w:hint="eastAsia" w:asciiTheme="minorEastAsia" w:hAnsiTheme="minorEastAsia" w:eastAsiaTheme="minorEastAsia" w:cstheme="minorEastAsia"/>
          <w:i w:val="0"/>
          <w:iCs w:val="0"/>
          <w:caps w:val="0"/>
          <w:color w:val="auto"/>
          <w:spacing w:val="0"/>
          <w:sz w:val="32"/>
          <w:szCs w:val="32"/>
          <w:shd w:val="clear" w:fill="FFFFFF"/>
        </w:rPr>
        <w:t>推荐单位、院士或自荐单位从“推荐单位”入口凭广东专利奖评审办公室提供的账号及密码登录评奖系统，进行初审并根据推荐或自荐名额择优推荐/自荐专利项目，在完成评奖系统推荐的同时，向评审办公室报送纸质推荐函或自荐函（格式见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评奖系统推荐及自荐截止时间为2022年1月5日（星期三）24:00，逾期专利评奖系统“推荐”功能关闭；纸质推荐自荐函报送截止时间为2022年1月7日（星期五）17:30。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（三）广东杰出发明人申报推荐程序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1．申报。申报人在“广东专利奖申报指南”中下载并填写《广东专利奖申报书（广东杰出发明人）》，连同附件材料存入U盘或者光盘，提交推荐单位或者推荐院士。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截止时间为2021年12月27日（星期一）。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2．推荐或自荐。推荐单位、院士或自荐人对申报材料进行初审，择优推荐并出具纸质推荐函或自荐函，连同电子版申报材料（所有发明人申报材料存入一个U盘或者光盘）一并报送广东专利奖评审办公室。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推荐材料报送截止时间为2022年1月7日（星期五）17:30。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w:t>
      </w:r>
      <w:r>
        <w:rPr>
          <w:rStyle w:val="6"/>
          <w:rFonts w:hint="eastAsia" w:asciiTheme="minorEastAsia" w:hAnsiTheme="minorEastAsia" w:eastAsiaTheme="minorEastAsia" w:cstheme="minorEastAsia"/>
          <w:i w:val="0"/>
          <w:iCs w:val="0"/>
          <w:caps w:val="0"/>
          <w:color w:val="auto"/>
          <w:spacing w:val="0"/>
          <w:sz w:val="32"/>
          <w:szCs w:val="32"/>
          <w:shd w:val="clear" w:fill="FFFFFF"/>
        </w:rPr>
        <w:t>五、联系人及联系方式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广东专利奖申报咨询联系方式：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联系人及电话：尹培豪、张涵森、刘延君，020-89859005、020-37602161；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广东专利奖申报与评审系统技术支持联系方式：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联系人及电话：黄新旗，13688867534；刘康烨，13570531730。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lang w:eastAsia="zh-CN"/>
        </w:rPr>
      </w:pPr>
      <w:r>
        <w:rPr>
          <w:rFonts w:hint="eastAsia" w:asciiTheme="minorEastAsia" w:hAnsiTheme="minorEastAsia" w:eastAsiaTheme="minorEastAsia" w:cstheme="minorEastAsia"/>
          <w:i w:val="0"/>
          <w:iCs w:val="0"/>
          <w:caps w:val="0"/>
          <w:color w:val="auto"/>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xml:space="preserve">  </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32"/>
          <w:szCs w:val="32"/>
          <w:shd w:val="clear" w:fill="FFFFFF"/>
          <w:lang w:eastAsia="zh-CN"/>
        </w:rPr>
        <w:t>附件</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w:t>
      </w:r>
      <w:r>
        <w:rPr>
          <w:rFonts w:hint="eastAsia" w:asciiTheme="minorEastAsia" w:hAnsiTheme="minorEastAsia" w:eastAsiaTheme="minorEastAsia" w:cstheme="minorEastAsia"/>
          <w:i w:val="0"/>
          <w:iCs w:val="0"/>
          <w:caps w:val="0"/>
          <w:color w:val="auto"/>
          <w:spacing w:val="0"/>
          <w:sz w:val="32"/>
          <w:szCs w:val="32"/>
          <w:shd w:val="clear" w:fill="FFFFFF"/>
        </w:rPr>
        <w:t>1．广东专利奖申报书（发明或实用新型专利项目）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32"/>
          <w:szCs w:val="32"/>
          <w:shd w:val="clear" w:fill="FFFFFF"/>
        </w:rPr>
        <w:t>2．广东专利奖申报书（外观设计专利项目）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32"/>
          <w:szCs w:val="32"/>
          <w:shd w:val="clear" w:fill="FFFFFF"/>
        </w:rPr>
        <w:t>3．广东专利奖申报书（广东杰出发明人）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i w:val="0"/>
          <w:iCs w:val="0"/>
          <w:caps w:val="0"/>
          <w:color w:val="auto"/>
          <w:spacing w:val="0"/>
          <w:sz w:val="32"/>
          <w:szCs w:val="32"/>
          <w:shd w:val="clear" w:fill="FFFFFF"/>
        </w:rPr>
        <w:t>　　</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32"/>
          <w:szCs w:val="32"/>
          <w:shd w:val="clear" w:fill="FFFFFF"/>
        </w:rPr>
        <w:t>4．广东专利奖推荐/自荐函</w:t>
      </w:r>
    </w:p>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申报专利项目名称应与《专利证书》上的专利名称一致。</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申报单位是指专利权人或实施单位。</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IPC主分类号以授权公告文本上公布的分类号为准。</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经济效益由要加盖数据提供单位的财务专用章。</w:t>
      </w:r>
    </w:p>
    <w:p>
      <w:pPr>
        <w:spacing w:line="600" w:lineRule="exact"/>
        <w:ind w:left="420" w:leftChars="200" w:firstLine="0" w:firstLineChars="0"/>
        <w:rPr>
          <w:rFonts w:hint="default" w:ascii="Times New Roman" w:hAnsi="Times New Roman" w:cs="Times New Roman"/>
          <w:spacing w:val="-6"/>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w:t>
      </w:r>
      <w:r>
        <w:rPr>
          <w:rFonts w:hint="default" w:ascii="Times New Roman" w:hAnsi="Times New Roman" w:cs="Times New Roman"/>
          <w:kern w:val="0"/>
          <w:sz w:val="32"/>
          <w:szCs w:val="32"/>
        </w:rPr>
        <w:t>．</w:t>
      </w:r>
      <w:r>
        <w:rPr>
          <w:rFonts w:hint="default" w:ascii="Times New Roman" w:hAnsi="Times New Roman" w:cs="Times New Roman"/>
          <w:sz w:val="32"/>
          <w:szCs w:val="32"/>
        </w:rPr>
        <w:t>其他收益情况是指该专利除自行实施、许可实施以外的其他运营方式获得的收益情况。</w:t>
      </w:r>
    </w:p>
    <w:p>
      <w:pPr>
        <w:spacing w:line="600" w:lineRule="exact"/>
        <w:rPr>
          <w:rFonts w:ascii="仿宋_GB2312"/>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eastAsia="方正小标宋简体"/>
          <w:sz w:val="32"/>
          <w:szCs w:val="32"/>
        </w:rPr>
      </w:pPr>
    </w:p>
    <w:tbl>
      <w:tblPr>
        <w:tblStyle w:val="4"/>
        <w:tblW w:w="9423"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仿宋_GB2312"/>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eastAsia="仿宋_GB2312"/>
                <w:sz w:val="32"/>
                <w:szCs w:val="32"/>
                <w:lang w:eastAsia="zh-CN"/>
              </w:rPr>
            </w:pPr>
            <w:r>
              <w:rPr>
                <w:rFonts w:hint="eastAsia" w:ascii="仿宋_GB2312"/>
                <w:sz w:val="32"/>
                <w:szCs w:val="32"/>
              </w:rPr>
              <w:t>列出若干个申请日之前最接近的技术，简要介绍其技术方案；并详细说明未对参评专利的新颖性和创造性构成实质性影响（可加页）</w:t>
            </w:r>
            <w:r>
              <w:rPr>
                <w:rFonts w:hint="eastAsia" w:ascii="仿宋_GB2312"/>
                <w:sz w:val="32"/>
                <w:szCs w:val="32"/>
                <w:lang w:eastAsia="zh-CN"/>
              </w:rPr>
              <w:t>。</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结合实施情况，说明参评专利的技术方案能够制造或使用，并已产生了积极的效果（可加页）。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详细说明参评专利：</w:t>
            </w:r>
            <w:r>
              <w:rPr>
                <w:rFonts w:hint="default" w:ascii="Times New Roman"/>
                <w:sz w:val="32"/>
                <w:szCs w:val="32"/>
              </w:rPr>
              <w:t>1.说明书已</w:t>
            </w:r>
            <w:r>
              <w:rPr>
                <w:rFonts w:ascii="Times New Roman"/>
                <w:sz w:val="32"/>
                <w:szCs w:val="32"/>
              </w:rPr>
              <w:t>清楚、完整地公开发明</w:t>
            </w:r>
            <w:r>
              <w:rPr>
                <w:rFonts w:hint="default" w:ascii="Times New Roman"/>
                <w:sz w:val="32"/>
                <w:szCs w:val="32"/>
              </w:rPr>
              <w:t>的内容</w:t>
            </w:r>
            <w:r>
              <w:rPr>
                <w:rFonts w:ascii="Times New Roman"/>
                <w:sz w:val="32"/>
                <w:szCs w:val="32"/>
              </w:rPr>
              <w:t>，</w:t>
            </w:r>
            <w:r>
              <w:rPr>
                <w:rFonts w:hint="default" w:ascii="Times New Roman"/>
                <w:sz w:val="32"/>
                <w:szCs w:val="32"/>
              </w:rPr>
              <w:t>并</w:t>
            </w:r>
            <w:r>
              <w:rPr>
                <w:rFonts w:ascii="Times New Roman"/>
                <w:sz w:val="32"/>
                <w:szCs w:val="32"/>
              </w:rPr>
              <w:t>使所属技术领域的</w:t>
            </w:r>
            <w:r>
              <w:rPr>
                <w:rFonts w:hint="default" w:ascii="Times New Roman"/>
                <w:sz w:val="32"/>
                <w:szCs w:val="32"/>
              </w:rPr>
              <w:t>技术</w:t>
            </w:r>
            <w:r>
              <w:rPr>
                <w:rFonts w:ascii="Times New Roman"/>
                <w:sz w:val="32"/>
                <w:szCs w:val="32"/>
              </w:rPr>
              <w:t>人员能够理解和实施</w:t>
            </w:r>
            <w:r>
              <w:rPr>
                <w:rFonts w:hint="default" w:ascii="Times New Roman"/>
                <w:sz w:val="32"/>
                <w:szCs w:val="32"/>
              </w:rPr>
              <w:t>；2.权利要求书清楚、简要；3.</w:t>
            </w:r>
            <w:r>
              <w:rPr>
                <w:rFonts w:hint="eastAsia" w:ascii="仿宋_GB2312"/>
                <w:sz w:val="32"/>
                <w:szCs w:val="32"/>
              </w:rPr>
              <w:t>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三、技术先进性评价材料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技术原创性及重要性</w:t>
            </w:r>
          </w:p>
        </w:tc>
        <w:tc>
          <w:tcPr>
            <w:tcW w:w="8403" w:type="dxa"/>
            <w:noWrap w:val="0"/>
            <w:vAlign w:val="top"/>
          </w:tcPr>
          <w:p>
            <w:pPr>
              <w:spacing w:line="520" w:lineRule="exact"/>
              <w:rPr>
                <w:rFonts w:eastAsia="楷体_GB2312"/>
                <w:sz w:val="32"/>
                <w:szCs w:val="32"/>
              </w:rPr>
            </w:pPr>
            <w:r>
              <w:rPr>
                <w:sz w:val="32"/>
                <w:szCs w:val="32"/>
              </w:rPr>
              <w:t>结合技术要点，说明参评专利属于基础型专利或改进型专利，并解释是否解决了本领域关键性、共性的技术难题（可加页）</w:t>
            </w:r>
            <w:r>
              <w:rPr>
                <w:rFonts w:eastAsia="楷体_GB2312"/>
                <w:sz w:val="32"/>
                <w:szCs w:val="32"/>
              </w:rPr>
              <w:t>。</w:t>
            </w:r>
          </w:p>
          <w:p>
            <w:pPr>
              <w:spacing w:line="520" w:lineRule="exact"/>
              <w:rPr>
                <w:rFonts w:eastAsia="楷体_GB2312"/>
                <w:sz w:val="32"/>
                <w:szCs w:val="32"/>
              </w:rPr>
            </w:pPr>
          </w:p>
          <w:p>
            <w:pPr>
              <w:spacing w:line="520" w:lineRule="exact"/>
              <w:rPr>
                <w:rFonts w:eastAsia="楷体_GB2312"/>
                <w:sz w:val="32"/>
                <w:szCs w:val="32"/>
              </w:rPr>
            </w:pPr>
          </w:p>
          <w:p>
            <w:pPr>
              <w:spacing w:line="520" w:lineRule="exact"/>
              <w:rPr>
                <w:rFonts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技术优势</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sz w:val="32"/>
                <w:szCs w:val="32"/>
              </w:rPr>
            </w:pPr>
            <w:r>
              <w:rPr>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技术通用性</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rFonts w:hint="eastAsia" w:ascii="仿宋_GB2312"/>
                <w:sz w:val="32"/>
                <w:szCs w:val="32"/>
              </w:rPr>
            </w:pPr>
            <w:r>
              <w:rPr>
                <w:rFonts w:hint="default" w:ascii="Times New Roman"/>
                <w:sz w:val="32"/>
                <w:szCs w:val="32"/>
              </w:rPr>
              <w:t>1.</w:t>
            </w:r>
            <w:r>
              <w:rPr>
                <w:rFonts w:hint="eastAsia" w:ascii="仿宋_GB2312"/>
                <w:sz w:val="32"/>
                <w:szCs w:val="32"/>
              </w:rPr>
              <w:t>介绍参评专利目前已应用的领域和范围；</w:t>
            </w:r>
            <w:r>
              <w:rPr>
                <w:rFonts w:hint="default" w:ascii="Times New Roman"/>
                <w:sz w:val="32"/>
                <w:szCs w:val="32"/>
              </w:rPr>
              <w:t>2.</w:t>
            </w:r>
            <w:r>
              <w:rPr>
                <w:rFonts w:hint="eastAsia" w:ascii="仿宋_GB2312"/>
                <w:sz w:val="32"/>
                <w:szCs w:val="32"/>
              </w:rPr>
              <w:t>说明该专利技术还可以应用的其他领域和范围（可加页）。</w:t>
            </w:r>
          </w:p>
          <w:p>
            <w:pPr>
              <w:spacing w:line="520" w:lineRule="exact"/>
              <w:rPr>
                <w:rFonts w:hint="eastAsia" w:ascii="仿宋_GB2312"/>
                <w:sz w:val="32"/>
                <w:szCs w:val="32"/>
              </w:rPr>
            </w:pPr>
          </w:p>
          <w:p>
            <w:pPr>
              <w:spacing w:line="52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napToGrid w:val="0"/>
              <w:spacing w:line="600" w:lineRule="exact"/>
              <w:jc w:val="center"/>
              <w:rPr>
                <w:rFonts w:ascii="楷体_GB2312" w:hAnsi="黑体" w:eastAsia="楷体_GB2312"/>
                <w:sz w:val="32"/>
                <w:szCs w:val="32"/>
              </w:rPr>
            </w:pPr>
            <w:r>
              <w:rPr>
                <w:rFonts w:hint="default" w:ascii="Times New Roman" w:hAnsi="Times New Roman" w:eastAsia="黑体" w:cs="Times New Roman"/>
                <w:sz w:val="32"/>
                <w:szCs w:val="32"/>
              </w:rPr>
              <w:t>附件1</w:t>
            </w:r>
          </w:p>
        </w:tc>
        <w:tc>
          <w:tcPr>
            <w:tcW w:w="8403" w:type="dxa"/>
            <w:noWrap w:val="0"/>
            <w:vAlign w:val="top"/>
          </w:tcPr>
          <w:p>
            <w:pPr>
              <w:snapToGrid w:val="0"/>
              <w:spacing w:line="600" w:lineRule="exact"/>
              <w:rPr>
                <w:rFonts w:ascii="仿宋_GB2312"/>
                <w:sz w:val="32"/>
                <w:szCs w:val="32"/>
              </w:rPr>
            </w:pPr>
            <w:r>
              <w:rPr>
                <w:rFonts w:hint="default" w:ascii="Times New Roman" w:hAnsi="Times New Roman" w:eastAsia="黑体" w:cs="Times New Roman"/>
                <w:sz w:val="32"/>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4"/>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  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13"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776"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776" w:type="dxa"/>
            <w:gridSpan w:val="2"/>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573"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600" w:lineRule="exact"/>
              <w:jc w:val="left"/>
              <w:rPr>
                <w:rFonts w:hint="default" w:ascii="Times New Roman" w:hAnsi="Times New Roman" w:cs="Times New Roman"/>
                <w:b/>
                <w:sz w:val="32"/>
                <w:szCs w:val="32"/>
              </w:rPr>
            </w:pPr>
          </w:p>
          <w:p>
            <w:pPr>
              <w:spacing w:line="600" w:lineRule="exact"/>
              <w:jc w:val="left"/>
              <w:rPr>
                <w:rFonts w:hint="default" w:ascii="Times New Roman" w:hAnsi="Times New Roman" w:cs="Times New Roman"/>
                <w:b/>
                <w:sz w:val="32"/>
                <w:szCs w:val="32"/>
              </w:rPr>
            </w:pPr>
          </w:p>
        </w:tc>
      </w:tr>
    </w:tbl>
    <w:p>
      <w:pPr>
        <w:spacing w:line="600" w:lineRule="exact"/>
        <w:ind w:firstLine="3040" w:firstLineChars="950"/>
        <w:rPr>
          <w:rFonts w:hint="eastAsia" w:ascii="黑体" w:hAnsi="黑体" w:eastAsia="黑体" w:cs="黑体"/>
          <w:sz w:val="32"/>
          <w:szCs w:val="32"/>
        </w:rPr>
      </w:pPr>
    </w:p>
    <w:p>
      <w:pPr>
        <w:spacing w:line="600" w:lineRule="exact"/>
        <w:ind w:firstLine="3040" w:firstLineChars="950"/>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详细说明参评专利实施对行业发展及技术趋势的影响（可加页）。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说明参评专利是属于国家政策明确鼓励、支持的，还是限制、禁止类别或无明确导向的（可加页）。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Cs/>
          <w:sz w:val="32"/>
          <w:szCs w:val="32"/>
        </w:rPr>
      </w:pP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七、项目获奖情况</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pacing w:val="-6"/>
          <w:sz w:val="32"/>
          <w:szCs w:val="32"/>
        </w:rPr>
        <w:t>经济效益、社会效益的统计截止时间为202</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4"/>
        <w:tblW w:w="8966" w:type="dxa"/>
        <w:jc w:val="center"/>
        <w:tblLayout w:type="fixed"/>
        <w:tblCellMar>
          <w:top w:w="0" w:type="dxa"/>
          <w:left w:w="108" w:type="dxa"/>
          <w:bottom w:w="0" w:type="dxa"/>
          <w:right w:w="108" w:type="dxa"/>
        </w:tblCellMar>
      </w:tblPr>
      <w:tblGrid>
        <w:gridCol w:w="2394"/>
        <w:gridCol w:w="1948"/>
        <w:gridCol w:w="2313"/>
        <w:gridCol w:w="2311"/>
      </w:tblGrid>
      <w:tr>
        <w:tblPrEx>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hint="default" w:ascii="Times New Roman" w:hAnsi="Times New Roman" w:cs="Times New Roman"/>
                <w:kern w:val="0"/>
                <w:sz w:val="32"/>
                <w:szCs w:val="32"/>
              </w:rPr>
            </w:pPr>
          </w:p>
          <w:p>
            <w:pPr>
              <w:widowControl/>
              <w:spacing w:line="600" w:lineRule="exact"/>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p>
            <w:pPr>
              <w:spacing w:line="560" w:lineRule="exact"/>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说明授权文本中的图片或者照片是否清楚完整（可加页）。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bl>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三、设计要点及理念的表达评价材料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ascii="楷体_GB2312" w:hAnsi="黑体" w:eastAsia="楷体_GB2312"/>
                <w:sz w:val="32"/>
                <w:szCs w:val="32"/>
              </w:rPr>
            </w:pPr>
            <w:r>
              <w:rPr>
                <w:rFonts w:hint="eastAsia" w:ascii="仿宋_GB2312" w:hAnsi="仿宋_GB2312" w:cs="仿宋_GB2312"/>
                <w:sz w:val="32"/>
                <w:szCs w:val="32"/>
              </w:rPr>
              <w:t>说明参评专利的设计要点（造型、图形、色彩、材质等）独特程度</w:t>
            </w:r>
            <w:r>
              <w:rPr>
                <w:rFonts w:hint="eastAsia" w:ascii="仿宋_GB2312"/>
                <w:sz w:val="32"/>
                <w:szCs w:val="32"/>
              </w:rPr>
              <w:t>（可加页）</w:t>
            </w:r>
            <w:r>
              <w:rPr>
                <w:rFonts w:hint="eastAsia" w:ascii="楷体_GB2312" w:hAnsi="黑体" w:eastAsia="楷体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说明参评专利的艺术性及象征性，重点描述参评项目的美学效果、寓意表达等（可加页）。</w:t>
            </w:r>
          </w:p>
          <w:p>
            <w:pPr>
              <w:spacing w:line="560" w:lineRule="exact"/>
              <w:rPr>
                <w:rFonts w:ascii="楷体_GB2312" w:hAnsi="黑体"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说明参评专利的人机性、结构合理性、安全可靠性等（可加页）。</w:t>
            </w: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4"/>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spacing w:line="600" w:lineRule="exact"/>
              <w:ind w:left="108"/>
              <w:rPr>
                <w:rFonts w:hint="default" w:ascii="Times New Roman" w:hAnsi="Times New Roman" w:cs="Times New Roman"/>
                <w:sz w:val="32"/>
                <w:szCs w:val="32"/>
              </w:rPr>
            </w:pPr>
            <w:r>
              <w:rPr>
                <w:rFonts w:hint="default" w:ascii="Times New Roman" w:hAnsi="Times New Roman" w:cs="Times New Roman"/>
                <w:sz w:val="32"/>
                <w:szCs w:val="32"/>
              </w:rPr>
              <w:t>时  间</w:t>
            </w:r>
          </w:p>
        </w:tc>
        <w:tc>
          <w:tcPr>
            <w:tcW w:w="1627"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437"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81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出口额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796"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6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614"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614"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462"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详细说明参评专利对树立企业良好形象、引领消费习惯、提高人民物质文化生活水平、节能环保等方面所起的作用。如能采取定量方法说明的均需有具体数字（可加页）。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详细说明参评专利对引领设计趋势和推动行业发展的作用（可加页）。</w:t>
            </w:r>
          </w:p>
          <w:p>
            <w:pPr>
              <w:spacing w:line="560" w:lineRule="exact"/>
              <w:rPr>
                <w:rFonts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说明参评专利对提高产品附加值和品牌价值的贡献度（可加页）。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
          <w:sz w:val="32"/>
          <w:szCs w:val="32"/>
        </w:rPr>
      </w:pPr>
      <w:r>
        <w:rPr>
          <w:rFonts w:hint="eastAsia" w:ascii="黑体" w:hAnsi="黑体" w:eastAsia="黑体" w:cs="黑体"/>
          <w:sz w:val="32"/>
          <w:szCs w:val="32"/>
        </w:rPr>
        <w:t>七、项目获奖情况</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有效发明专利是指截至申报指南发布日处于有效状态的发明专利。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有效实用新型及外观设计专利是指截至申报指南发布日处于有效状态的实用新型专利和外观设计专利。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近期专利申请是指近三年向国家知识产权局专利局提出的专利申请，包括已经授权的和尚未授权的。</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经济效益要加盖数据提供单位的财务专用章。</w:t>
      </w:r>
    </w:p>
    <w:p>
      <w:pPr>
        <w:spacing w:line="600" w:lineRule="exact"/>
        <w:ind w:firstLine="616" w:firstLineChars="200"/>
        <w:rPr>
          <w:rFonts w:hint="default" w:ascii="Times New Roman" w:hAnsi="Times New Roman" w:cs="Times New Roman"/>
          <w:spacing w:val="-6"/>
          <w:sz w:val="32"/>
          <w:szCs w:val="32"/>
        </w:rPr>
      </w:pPr>
      <w:r>
        <w:rPr>
          <w:rFonts w:hint="default" w:ascii="Times New Roman" w:hAnsi="Times New Roman" w:cs="Times New Roman"/>
          <w:spacing w:val="-6"/>
          <w:sz w:val="32"/>
          <w:szCs w:val="32"/>
        </w:rPr>
        <w:t>6</w:t>
      </w:r>
      <w:r>
        <w:rPr>
          <w:rFonts w:hint="default" w:ascii="Times New Roman" w:hAnsi="Times New Roman" w:cs="Times New Roman"/>
          <w:spacing w:val="-6"/>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销售额指有效专利实施或出售所产生的销售额。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利税额指有效专利实施或出售所产生的利税额。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出口额指有效专利实施或出售所产生的出口额。</w:t>
      </w:r>
    </w:p>
    <w:p>
      <w:pPr>
        <w:spacing w:line="600" w:lineRule="exact"/>
        <w:ind w:firstLine="640" w:firstLineChars="200"/>
        <w:rPr>
          <w:rFonts w:hint="default" w:ascii="Times New Roman" w:hAnsi="Times New Roman" w:cs="Times New Roman"/>
          <w:sz w:val="32"/>
          <w:szCs w:val="32"/>
        </w:rPr>
      </w:pPr>
    </w:p>
    <w:p>
      <w:pPr>
        <w:spacing w:line="600" w:lineRule="exact"/>
        <w:ind w:firstLine="640" w:firstLineChars="200"/>
        <w:rPr>
          <w:rFonts w:ascii="仿宋_GB2312"/>
          <w:sz w:val="32"/>
          <w:szCs w:val="32"/>
        </w:rPr>
      </w:pPr>
    </w:p>
    <w:p>
      <w:pPr>
        <w:numPr>
          <w:ilvl w:val="0"/>
          <w:numId w:val="0"/>
        </w:numPr>
        <w:spacing w:line="600" w:lineRule="exact"/>
        <w:jc w:val="center"/>
        <w:rPr>
          <w:rFonts w:hint="eastAsia" w:ascii="小标宋" w:eastAsia="小标宋"/>
          <w:sz w:val="32"/>
          <w:szCs w:val="32"/>
        </w:rPr>
      </w:pPr>
    </w:p>
    <w:p>
      <w:pPr>
        <w:numPr>
          <w:ilvl w:val="0"/>
          <w:numId w:val="0"/>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一、申报人基本信息</w:t>
      </w:r>
    </w:p>
    <w:p>
      <w:pPr>
        <w:spacing w:line="600" w:lineRule="exact"/>
        <w:ind w:left="912"/>
        <w:rPr>
          <w:rFonts w:ascii="方正小标宋简体" w:hAnsi="宋体" w:eastAsia="方正小标宋简体" w:cs="宋体"/>
          <w:b/>
          <w:kern w:val="0"/>
          <w:sz w:val="32"/>
          <w:szCs w:val="32"/>
        </w:rPr>
      </w:pPr>
    </w:p>
    <w:tbl>
      <w:tblPr>
        <w:tblStyle w:val="4"/>
        <w:tblW w:w="8946" w:type="dxa"/>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32"/>
                <w:szCs w:val="32"/>
              </w:rPr>
            </w:pPr>
            <w:r>
              <w:rPr>
                <w:rFonts w:hint="eastAsia" w:ascii="仿宋_GB2312"/>
                <w:sz w:val="32"/>
                <w:szCs w:val="32"/>
              </w:rPr>
              <w:t>重点说明申请人在技术一线从事技术研发工作的经历及成果。</w:t>
            </w: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spacing w:line="600" w:lineRule="exact"/>
              <w:rPr>
                <w:rFonts w:ascii="仿宋_GB2312" w:hAnsi="宋体" w:cs="宋体"/>
                <w:b/>
                <w:bCs/>
                <w:kern w:val="0"/>
                <w:sz w:val="32"/>
                <w:szCs w:val="32"/>
              </w:rPr>
            </w:pPr>
          </w:p>
        </w:tc>
      </w:tr>
    </w:tbl>
    <w:p>
      <w:pPr>
        <w:spacing w:line="600" w:lineRule="exact"/>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二、创新能力评价材料</w:t>
      </w:r>
    </w:p>
    <w:tbl>
      <w:tblPr>
        <w:tblStyle w:val="4"/>
        <w:tblW w:w="9674" w:type="dxa"/>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三、创新成果的经济贡献</w:t>
      </w:r>
    </w:p>
    <w:tbl>
      <w:tblPr>
        <w:tblStyle w:val="4"/>
        <w:tblW w:w="9674" w:type="dxa"/>
        <w:tblInd w:w="-318" w:type="dxa"/>
        <w:tblLayout w:type="fixed"/>
        <w:tblCellMar>
          <w:top w:w="0" w:type="dxa"/>
          <w:left w:w="108" w:type="dxa"/>
          <w:bottom w:w="0" w:type="dxa"/>
          <w:right w:w="108" w:type="dxa"/>
        </w:tblCellMar>
      </w:tblPr>
      <w:tblGrid>
        <w:gridCol w:w="609"/>
        <w:gridCol w:w="1997"/>
        <w:gridCol w:w="2459"/>
        <w:gridCol w:w="2405"/>
        <w:gridCol w:w="2204"/>
      </w:tblGrid>
      <w:tr>
        <w:tblPrEx>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698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59264;mso-width-relative:page;mso-height-relative:page;" filled="f" stroked="t" coordsize="21600,21600" o:gfxdata="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i8MBb1wAAAAgBAAAPAAAAAAAAAAEAIAAAADgAAABkcnMvZG93bnJldi54&#10;bWxQSwECFAAUAAAACACHTuJAuql2r+UBAACjAwAADgAAAAAAAAABACAAAAA8AQAAZHJzL2Uyb0Rv&#10;Yy54bWxQSwUGAAAAAAYABgBZAQAAkwUAAAAA&#10;">
                      <v:fill on="f" focussize="0,0"/>
                      <v:stroke color="#000000" joinstyle="round"/>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四、创新成果的社会贡献</w:t>
      </w:r>
    </w:p>
    <w:tbl>
      <w:tblPr>
        <w:tblStyle w:val="4"/>
        <w:tblW w:w="9254" w:type="dxa"/>
        <w:tblInd w:w="-87" w:type="dxa"/>
        <w:tblLayout w:type="fixed"/>
        <w:tblCellMar>
          <w:top w:w="0" w:type="dxa"/>
          <w:left w:w="108" w:type="dxa"/>
          <w:bottom w:w="0" w:type="dxa"/>
          <w:right w:w="108" w:type="dxa"/>
        </w:tblCellMar>
      </w:tblPr>
      <w:tblGrid>
        <w:gridCol w:w="970"/>
        <w:gridCol w:w="8284"/>
      </w:tblGrid>
      <w:tr>
        <w:tblPrEx>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eastAsia" w:ascii="黑体" w:hAnsi="黑体" w:eastAsia="黑体" w:cs="黑体"/>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广东专利奖评审办公室：</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我单位(或***院士/本人)对所推荐/自荐项目（或推荐/自荐人员）的申报资格及申报材料进行了初审，符合广东专利奖申报指南的要求，现将***等*项项目及***等*位发明人推荐/自荐给你办公室，具体如下：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一、广东专利金奖、银奖、优秀奖推荐（或自荐）项目及理由</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专利名称***（专利号***）</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专利名称***（专利号***）</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二、广东杰出发明人推荐（或自荐）人员及理由</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发明人姓名***</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cs="Times New Roman"/>
          <w:sz w:val="32"/>
          <w:szCs w:val="32"/>
        </w:rPr>
      </w:pP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附件</w:t>
      </w:r>
      <w:r>
        <w:rPr>
          <w:rFonts w:hint="eastAsia" w:ascii="Times New Roman" w:hAnsi="Times New Roman" w:cs="Times New Roman"/>
          <w:sz w:val="32"/>
          <w:szCs w:val="32"/>
          <w:lang w:eastAsia="zh-CN"/>
        </w:rPr>
        <w:t>：</w:t>
      </w:r>
      <w:r>
        <w:rPr>
          <w:rFonts w:hint="default" w:ascii="Times New Roman" w:hAnsi="Times New Roman" w:cs="Times New Roman"/>
          <w:sz w:val="32"/>
          <w:szCs w:val="32"/>
        </w:rPr>
        <w:t>1</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***单位推荐专利项目清单</w:t>
      </w:r>
    </w:p>
    <w:p>
      <w:pPr>
        <w:spacing w:line="600" w:lineRule="exact"/>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2</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***单位推荐发明人清单</w:t>
      </w: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附件4之附件1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4"/>
        <w:tblW w:w="8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附件4之附件2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4"/>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宋体" w:hAnsi="宋体" w:eastAsia="宋体" w:cs="宋体"/>
          <w:i w:val="0"/>
          <w:iCs w:val="0"/>
          <w:caps w:val="0"/>
          <w:color w:val="auto"/>
          <w:spacing w:val="0"/>
          <w:sz w:val="32"/>
          <w:szCs w:val="32"/>
          <w:shd w:val="clear" w:fill="FFFFFF"/>
        </w:rPr>
      </w:pP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小标宋">
    <w:altName w:val="方正小标宋_GBK"/>
    <w:panose1 w:val="03000509000000000000"/>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06C14"/>
    <w:rsid w:val="0387090E"/>
    <w:rsid w:val="16106C14"/>
    <w:rsid w:val="47457430"/>
    <w:rsid w:val="6EF60A10"/>
    <w:rsid w:val="7EE30E29"/>
    <w:rsid w:val="AF3FE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2021-12-08T09:05:00Z</dcterms:created>
  <dc:creator>杨昌盛</dc:creator>
  <cp:lastModifiedBy>WANGQW</cp:lastModifiedBy>
  <dcterms:modified xsi:type="dcterms:W3CDTF">2022-08-04T10:09:27Z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7BF2CC9C583442BCAD0DF86B5F976B5C</vt:lpwstr>
  </property>
</Properties>
</file>