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2080" w:hanging="2080" w:hangingChars="650"/>
        <w:jc w:val="left"/>
        <w:textAlignment w:val="auto"/>
        <w:rPr>
          <w:rFonts w:asciiTheme="majorEastAsia" w:hAnsiTheme="majorEastAsia" w:eastAsiaTheme="majorEastAsia" w:cstheme="majorEastAsia"/>
          <w:bCs/>
          <w:sz w:val="44"/>
          <w:szCs w:val="44"/>
        </w:rPr>
      </w:pPr>
      <w:r>
        <w:rPr>
          <w:rFonts w:hint="eastAsia" w:ascii="方正仿宋_GBK" w:hAnsi="方正仿宋_GBK" w:eastAsia="方正仿宋_GBK" w:cs="方正仿宋_GBK"/>
          <w:bCs/>
          <w:sz w:val="32"/>
          <w:szCs w:val="32"/>
          <w:lang w:val="en-US" w:eastAsia="zh-CN"/>
        </w:rPr>
        <w:t xml:space="preserve">附件：                     </w:t>
      </w:r>
      <w:r>
        <w:rPr>
          <w:rFonts w:hint="eastAsia" w:asciiTheme="majorEastAsia" w:hAnsiTheme="majorEastAsia" w:eastAsiaTheme="majorEastAsia" w:cstheme="majorEastAsia"/>
          <w:bCs/>
          <w:sz w:val="44"/>
          <w:szCs w:val="44"/>
        </w:rPr>
        <w:t>内部评审项目评分表</w:t>
      </w:r>
    </w:p>
    <w:p>
      <w:pPr>
        <w:rPr>
          <w:rFonts w:ascii="黑体" w:eastAsia="黑体"/>
          <w:sz w:val="28"/>
          <w:szCs w:val="28"/>
          <w:u w:val="single"/>
        </w:rPr>
      </w:pPr>
      <w:r>
        <w:rPr>
          <w:rFonts w:hint="eastAsia" w:ascii="黑体" w:eastAsia="黑体"/>
          <w:sz w:val="28"/>
          <w:szCs w:val="28"/>
        </w:rPr>
        <w:t>项目名称：</w:t>
      </w:r>
      <w:r>
        <w:rPr>
          <w:rFonts w:hint="eastAsia" w:ascii="宋体" w:hAnsi="宋体"/>
          <w:b/>
          <w:sz w:val="28"/>
          <w:szCs w:val="28"/>
          <w:u w:val="single"/>
        </w:rPr>
        <w:t>深圳市</w:t>
      </w:r>
      <w:r>
        <w:rPr>
          <w:rFonts w:hint="eastAsia" w:ascii="宋体" w:hAnsi="宋体"/>
          <w:b/>
          <w:sz w:val="28"/>
          <w:szCs w:val="28"/>
          <w:u w:val="single"/>
          <w:lang w:eastAsia="zh-CN"/>
        </w:rPr>
        <w:t>市</w:t>
      </w:r>
      <w:r>
        <w:rPr>
          <w:rFonts w:hint="eastAsia" w:ascii="宋体" w:hAnsi="宋体"/>
          <w:b/>
          <w:sz w:val="28"/>
          <w:szCs w:val="28"/>
          <w:u w:val="single"/>
        </w:rPr>
        <w:t>级应急广播</w:t>
      </w:r>
      <w:r>
        <w:rPr>
          <w:rFonts w:hint="eastAsia" w:ascii="宋体" w:hAnsi="宋体"/>
          <w:b/>
          <w:sz w:val="28"/>
          <w:szCs w:val="28"/>
          <w:u w:val="single"/>
          <w:lang w:eastAsia="zh-CN"/>
        </w:rPr>
        <w:t>系统</w:t>
      </w:r>
      <w:r>
        <w:rPr>
          <w:rFonts w:hint="eastAsia" w:ascii="宋体" w:hAnsi="宋体"/>
          <w:b/>
          <w:sz w:val="28"/>
          <w:szCs w:val="28"/>
          <w:u w:val="single"/>
        </w:rPr>
        <w:t>建设项目可行性研究报告编制服务</w:t>
      </w:r>
    </w:p>
    <w:tbl>
      <w:tblPr>
        <w:tblStyle w:val="5"/>
        <w:tblW w:w="1418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47"/>
        <w:gridCol w:w="1650"/>
        <w:gridCol w:w="2340"/>
        <w:gridCol w:w="90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58" w:hRule="atLeast"/>
          <w:tblHeader/>
        </w:trPr>
        <w:tc>
          <w:tcPr>
            <w:tcW w:w="1147"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类  别</w:t>
            </w:r>
          </w:p>
        </w:tc>
        <w:tc>
          <w:tcPr>
            <w:tcW w:w="1650"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评分项目</w:t>
            </w:r>
          </w:p>
        </w:tc>
        <w:tc>
          <w:tcPr>
            <w:tcW w:w="2340"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权重分值</w:t>
            </w:r>
          </w:p>
        </w:tc>
        <w:tc>
          <w:tcPr>
            <w:tcW w:w="9045" w:type="dxa"/>
            <w:tcBorders>
              <w:top w:val="single" w:color="auto" w:sz="8" w:space="0"/>
              <w:left w:val="single" w:color="auto" w:sz="8" w:space="0"/>
              <w:bottom w:val="single" w:color="auto" w:sz="8" w:space="0"/>
              <w:right w:val="single" w:color="auto" w:sz="8" w:space="0"/>
            </w:tcBorders>
            <w:shd w:val="clear" w:color="auto" w:fill="F3F3F3"/>
            <w:vAlign w:val="center"/>
          </w:tcPr>
          <w:p>
            <w:pPr>
              <w:spacing w:line="400" w:lineRule="exact"/>
              <w:jc w:val="center"/>
              <w:rPr>
                <w:rFonts w:ascii="宋体" w:hAnsi="宋体" w:cs="宋体"/>
                <w:b/>
                <w:bCs/>
                <w:color w:val="000000"/>
                <w:kern w:val="0"/>
                <w:sz w:val="24"/>
              </w:rPr>
            </w:pPr>
            <w:r>
              <w:rPr>
                <w:rFonts w:hint="eastAsia" w:ascii="宋体" w:hAnsi="宋体" w:cs="宋体"/>
                <w:b/>
                <w:bCs/>
                <w:color w:val="000000"/>
                <w:kern w:val="0"/>
                <w:sz w:val="24"/>
              </w:rPr>
              <w:t>评 分 参 考 及 范 围</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tblHeader/>
        </w:trPr>
        <w:tc>
          <w:tcPr>
            <w:tcW w:w="1147"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价格</w:t>
            </w:r>
          </w:p>
        </w:tc>
        <w:tc>
          <w:tcPr>
            <w:tcW w:w="1650"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投标总价</w:t>
            </w:r>
          </w:p>
        </w:tc>
        <w:tc>
          <w:tcPr>
            <w:tcW w:w="2340"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9045" w:type="dxa"/>
            <w:vMerge w:val="restart"/>
            <w:tcBorders>
              <w:top w:val="single" w:color="auto" w:sz="8" w:space="0"/>
              <w:left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统一采用低价优先法计算，即满足招标文件要求且投标价格最低的投标报价为评标基准价，其价格分为满分。其他投标人的价格分统一按照下列公式计算：</w:t>
            </w:r>
            <w:r>
              <w:rPr>
                <w:rFonts w:hint="eastAsia" w:ascii="仿宋_GB2312" w:hAnsi="宋体" w:eastAsia="仿宋_GB2312"/>
                <w:b/>
                <w:bCs/>
                <w:sz w:val="22"/>
                <w:szCs w:val="22"/>
              </w:rPr>
              <w:t>投标报价得分</w:t>
            </w:r>
            <w:r>
              <w:rPr>
                <w:rFonts w:hint="eastAsia" w:ascii="仿宋_GB2312" w:eastAsia="仿宋_GB2312"/>
                <w:b/>
                <w:bCs/>
                <w:sz w:val="22"/>
                <w:szCs w:val="22"/>
              </w:rPr>
              <w:t>=</w:t>
            </w:r>
            <w:r>
              <w:rPr>
                <w:rFonts w:hint="eastAsia" w:ascii="仿宋_GB2312" w:hAnsi="宋体" w:eastAsia="仿宋_GB2312"/>
                <w:b/>
                <w:bCs/>
                <w:sz w:val="22"/>
                <w:szCs w:val="22"/>
              </w:rPr>
              <w:t>（评标基准价/投标报价）×权重分值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tblHeader/>
        </w:trPr>
        <w:tc>
          <w:tcPr>
            <w:tcW w:w="1147"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2340" w:type="dxa"/>
            <w:vMerge w:val="continue"/>
            <w:tcBorders>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9045" w:type="dxa"/>
            <w:vMerge w:val="continue"/>
            <w:tcBorders>
              <w:left w:val="single" w:color="auto" w:sz="8" w:space="0"/>
              <w:bottom w:val="single" w:color="auto" w:sz="8" w:space="0"/>
              <w:right w:val="single" w:color="auto" w:sz="8" w:space="0"/>
            </w:tcBorders>
            <w:vAlign w:val="center"/>
          </w:tcPr>
          <w:p>
            <w:pPr>
              <w:keepNext w:val="0"/>
              <w:keepLines w:val="0"/>
              <w:pageBreakBefore w:val="0"/>
              <w:tabs>
                <w:tab w:val="left" w:pos="4995"/>
              </w:tabs>
              <w:kinsoku/>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00" w:hRule="atLeast"/>
          <w:tblHeader/>
        </w:trPr>
        <w:tc>
          <w:tcPr>
            <w:tcW w:w="1147" w:type="dxa"/>
            <w:vMerge w:val="restart"/>
            <w:tcBorders>
              <w:top w:val="single" w:color="auto" w:sz="8" w:space="0"/>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综合</w:t>
            </w:r>
          </w:p>
        </w:tc>
        <w:tc>
          <w:tcPr>
            <w:tcW w:w="165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工作方案</w:t>
            </w:r>
          </w:p>
        </w:tc>
        <w:tc>
          <w:tcPr>
            <w:tcW w:w="2340" w:type="dxa"/>
            <w:tcBorders>
              <w:top w:val="single" w:color="auto" w:sz="8"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0</w:t>
            </w:r>
          </w:p>
        </w:tc>
        <w:tc>
          <w:tcPr>
            <w:tcW w:w="9045" w:type="dxa"/>
            <w:tcBorders>
              <w:top w:val="single" w:color="auto" w:sz="8"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仿宋" w:eastAsia="仿宋_GB2312"/>
                <w:sz w:val="24"/>
                <w:lang w:bidi="th-TH"/>
              </w:rPr>
            </w:pPr>
            <w:r>
              <w:rPr>
                <w:rFonts w:hint="eastAsia" w:ascii="仿宋_GB2312" w:hAnsi="仿宋" w:eastAsia="仿宋_GB2312"/>
                <w:sz w:val="24"/>
                <w:lang w:bidi="th-TH"/>
              </w:rPr>
              <w:t>根据：（1）投标人对国家、广东省和深圳市应急广播等相关政策掌握情况；（2）工作方案的可执行度；（3）项目完成后服务内容；</w:t>
            </w:r>
          </w:p>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仿宋" w:eastAsia="仿宋_GB2312"/>
                <w:sz w:val="24"/>
                <w:lang w:bidi="th-TH"/>
              </w:rPr>
            </w:pPr>
            <w:r>
              <w:rPr>
                <w:rFonts w:hint="eastAsia" w:ascii="仿宋_GB2312" w:hAnsi="仿宋" w:eastAsia="仿宋_GB2312"/>
                <w:sz w:val="24"/>
                <w:lang w:bidi="th-TH"/>
              </w:rPr>
              <w:t>满足以上三项要求，安排合理、详尽、可操作性强为优：</w:t>
            </w:r>
            <w:r>
              <w:rPr>
                <w:rFonts w:ascii="仿宋_GB2312" w:hAnsi="仿宋" w:eastAsia="仿宋_GB2312"/>
                <w:sz w:val="24"/>
                <w:lang w:bidi="th-TH"/>
              </w:rPr>
              <w:t>21</w:t>
            </w:r>
            <w:r>
              <w:rPr>
                <w:rFonts w:hint="eastAsia" w:ascii="仿宋_GB2312" w:hAnsi="仿宋" w:eastAsia="仿宋_GB2312"/>
                <w:sz w:val="24"/>
                <w:lang w:bidi="th-TH"/>
              </w:rPr>
              <w:t>-</w:t>
            </w:r>
            <w:r>
              <w:rPr>
                <w:rFonts w:ascii="仿宋_GB2312" w:hAnsi="仿宋" w:eastAsia="仿宋_GB2312"/>
                <w:sz w:val="24"/>
                <w:lang w:bidi="th-TH"/>
              </w:rPr>
              <w:t>30</w:t>
            </w:r>
            <w:r>
              <w:rPr>
                <w:rFonts w:hint="eastAsia" w:ascii="仿宋_GB2312" w:hAnsi="仿宋" w:eastAsia="仿宋_GB2312"/>
                <w:sz w:val="24"/>
                <w:lang w:bidi="th-TH"/>
              </w:rPr>
              <w:t>分；</w:t>
            </w:r>
          </w:p>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仿宋" w:eastAsia="仿宋_GB2312"/>
                <w:sz w:val="24"/>
                <w:lang w:bidi="th-TH"/>
              </w:rPr>
            </w:pPr>
            <w:r>
              <w:rPr>
                <w:rFonts w:hint="eastAsia" w:ascii="仿宋_GB2312" w:hAnsi="仿宋" w:eastAsia="仿宋_GB2312"/>
                <w:sz w:val="24"/>
                <w:lang w:bidi="th-TH"/>
              </w:rPr>
              <w:t>满足以上两项要求，安排较好、可操作性良好为良：</w:t>
            </w:r>
            <w:r>
              <w:rPr>
                <w:rFonts w:ascii="仿宋_GB2312" w:hAnsi="仿宋" w:eastAsia="仿宋_GB2312"/>
                <w:sz w:val="24"/>
                <w:lang w:bidi="th-TH"/>
              </w:rPr>
              <w:t>11</w:t>
            </w:r>
            <w:r>
              <w:rPr>
                <w:rFonts w:hint="eastAsia" w:ascii="仿宋_GB2312" w:hAnsi="仿宋" w:eastAsia="仿宋_GB2312"/>
                <w:sz w:val="24"/>
                <w:lang w:bidi="th-TH"/>
              </w:rPr>
              <w:t>-</w:t>
            </w:r>
            <w:r>
              <w:rPr>
                <w:rFonts w:ascii="仿宋_GB2312" w:hAnsi="仿宋" w:eastAsia="仿宋_GB2312"/>
                <w:sz w:val="24"/>
                <w:lang w:bidi="th-TH"/>
              </w:rPr>
              <w:t>20</w:t>
            </w:r>
            <w:r>
              <w:rPr>
                <w:rFonts w:hint="eastAsia" w:ascii="仿宋_GB2312" w:hAnsi="仿宋" w:eastAsia="仿宋_GB2312"/>
                <w:sz w:val="24"/>
                <w:lang w:bidi="th-TH"/>
              </w:rPr>
              <w:t>分；</w:t>
            </w:r>
          </w:p>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仿宋" w:eastAsia="仿宋_GB2312"/>
                <w:sz w:val="24"/>
                <w:lang w:bidi="th-TH"/>
              </w:rPr>
            </w:pPr>
            <w:r>
              <w:rPr>
                <w:rFonts w:hint="eastAsia" w:ascii="仿宋_GB2312" w:hAnsi="仿宋" w:eastAsia="仿宋_GB2312"/>
                <w:sz w:val="24"/>
                <w:lang w:bidi="th-TH"/>
              </w:rPr>
              <w:t>满足以上一项要求或其他情况，安排不合理、可操作性不佳为差：0-10分。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vMerge w:val="continue"/>
            <w:tcBorders>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同类项目工作经验</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ascii="宋体" w:hAnsi="宋体" w:cs="宋体"/>
                <w:color w:val="000000"/>
                <w:kern w:val="0"/>
                <w:sz w:val="24"/>
              </w:rPr>
              <w:t>20</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宋体" w:eastAsia="仿宋_GB2312" w:cs="宋体"/>
                <w:color w:val="000000"/>
                <w:kern w:val="0"/>
                <w:sz w:val="24"/>
              </w:rPr>
            </w:pPr>
            <w:r>
              <w:rPr>
                <w:rFonts w:hint="eastAsia" w:ascii="仿宋_GB2312" w:hAnsi="仿宋" w:eastAsia="仿宋_GB2312"/>
                <w:sz w:val="24"/>
                <w:lang w:bidi="th-TH"/>
              </w:rPr>
              <w:t>承担省级及以上应急广播系统规划、方案制定等应急广播领域技术服务的业绩证明（</w:t>
            </w:r>
            <w:r>
              <w:rPr>
                <w:rFonts w:hint="eastAsia" w:ascii="仿宋_GB2312" w:hAnsi="仿宋" w:eastAsia="仿宋_GB2312"/>
                <w:sz w:val="24"/>
                <w:szCs w:val="24"/>
                <w:lang w:bidi="th-TH"/>
              </w:rPr>
              <w:t>要求提供</w:t>
            </w:r>
            <w:r>
              <w:rPr>
                <w:rFonts w:hint="eastAsia" w:ascii="仿宋_GB2312" w:hAnsi="仿宋" w:eastAsia="仿宋_GB2312"/>
                <w:sz w:val="24"/>
                <w:lang w:bidi="th-TH"/>
              </w:rPr>
              <w:t>合同</w:t>
            </w:r>
            <w:r>
              <w:rPr>
                <w:rFonts w:hint="eastAsia" w:ascii="仿宋_GB2312" w:hAnsi="仿宋" w:eastAsia="仿宋_GB2312"/>
                <w:sz w:val="24"/>
                <w:lang w:eastAsia="zh-CN" w:bidi="th-TH"/>
              </w:rPr>
              <w:t>复印件作为</w:t>
            </w:r>
            <w:r>
              <w:rPr>
                <w:rFonts w:hint="eastAsia" w:ascii="仿宋_GB2312" w:hAnsi="仿宋" w:eastAsia="仿宋_GB2312"/>
                <w:sz w:val="24"/>
                <w:szCs w:val="24"/>
                <w:lang w:bidi="th-TH"/>
              </w:rPr>
              <w:t>得分依据</w:t>
            </w:r>
            <w:r>
              <w:rPr>
                <w:rFonts w:hint="eastAsia" w:ascii="仿宋_GB2312" w:hAnsi="仿宋" w:eastAsia="仿宋_GB2312"/>
                <w:sz w:val="24"/>
                <w:szCs w:val="24"/>
                <w:lang w:val="en-US" w:eastAsia="zh-CN" w:bidi="th-TH"/>
              </w:rPr>
              <w:t>,原件备查</w:t>
            </w:r>
            <w:r>
              <w:rPr>
                <w:rFonts w:hint="eastAsia" w:ascii="仿宋_GB2312" w:hAnsi="仿宋" w:eastAsia="仿宋_GB2312"/>
                <w:sz w:val="24"/>
                <w:szCs w:val="24"/>
                <w:lang w:bidi="th-TH"/>
              </w:rPr>
              <w:t>。评分</w:t>
            </w:r>
            <w:r>
              <w:rPr>
                <w:rFonts w:hint="eastAsia" w:ascii="仿宋_GB2312" w:hAnsi="仿宋" w:eastAsia="仿宋_GB2312"/>
                <w:sz w:val="24"/>
                <w:szCs w:val="24"/>
                <w:lang w:eastAsia="zh-CN" w:bidi="th-TH"/>
              </w:rPr>
              <w:t>中</w:t>
            </w:r>
            <w:r>
              <w:rPr>
                <w:rFonts w:hint="eastAsia" w:ascii="仿宋_GB2312" w:hAnsi="仿宋" w:eastAsia="仿宋_GB2312"/>
                <w:sz w:val="24"/>
                <w:szCs w:val="24"/>
                <w:lang w:bidi="th-TH"/>
              </w:rPr>
              <w:t>出现</w:t>
            </w:r>
            <w:r>
              <w:rPr>
                <w:rFonts w:hint="eastAsia" w:ascii="仿宋_GB2312" w:hAnsi="仿宋" w:eastAsia="仿宋_GB2312"/>
                <w:sz w:val="24"/>
                <w:szCs w:val="24"/>
                <w:lang w:eastAsia="zh-CN" w:bidi="th-TH"/>
              </w:rPr>
              <w:t>合同</w:t>
            </w:r>
            <w:r>
              <w:rPr>
                <w:rFonts w:hint="eastAsia" w:ascii="仿宋_GB2312" w:hAnsi="仿宋" w:eastAsia="仿宋_GB2312"/>
                <w:sz w:val="24"/>
                <w:szCs w:val="24"/>
                <w:lang w:bidi="th-TH"/>
              </w:rPr>
              <w:t>无</w:t>
            </w:r>
            <w:r>
              <w:rPr>
                <w:rFonts w:hint="eastAsia" w:ascii="仿宋_GB2312" w:hAnsi="仿宋" w:eastAsia="仿宋_GB2312"/>
                <w:sz w:val="24"/>
                <w:szCs w:val="24"/>
                <w:lang w:eastAsia="zh-CN" w:bidi="th-TH"/>
              </w:rPr>
              <w:t>法</w:t>
            </w:r>
            <w:r>
              <w:rPr>
                <w:rFonts w:hint="eastAsia" w:ascii="仿宋_GB2312" w:hAnsi="仿宋" w:eastAsia="仿宋_GB2312"/>
                <w:sz w:val="24"/>
                <w:szCs w:val="24"/>
                <w:lang w:bidi="th-TH"/>
              </w:rPr>
              <w:t>证明或专家</w:t>
            </w:r>
            <w:bookmarkStart w:id="0" w:name="_GoBack"/>
            <w:bookmarkEnd w:id="0"/>
            <w:r>
              <w:rPr>
                <w:rFonts w:hint="eastAsia" w:ascii="仿宋_GB2312" w:hAnsi="仿宋" w:eastAsia="仿宋_GB2312"/>
                <w:sz w:val="24"/>
                <w:szCs w:val="24"/>
                <w:lang w:bidi="th-TH"/>
              </w:rPr>
              <w:t>凭所提供</w:t>
            </w:r>
            <w:r>
              <w:rPr>
                <w:rFonts w:hint="eastAsia" w:ascii="仿宋_GB2312" w:hAnsi="仿宋" w:eastAsia="仿宋_GB2312"/>
                <w:sz w:val="24"/>
                <w:szCs w:val="24"/>
                <w:lang w:eastAsia="zh-CN" w:bidi="th-TH"/>
              </w:rPr>
              <w:t>的合同无法</w:t>
            </w:r>
            <w:r>
              <w:rPr>
                <w:rFonts w:hint="eastAsia" w:ascii="仿宋_GB2312" w:hAnsi="仿宋" w:eastAsia="仿宋_GB2312"/>
                <w:sz w:val="24"/>
                <w:szCs w:val="24"/>
                <w:lang w:bidi="th-TH"/>
              </w:rPr>
              <w:t>判断是否得分的情况，一律作不得分处理。</w:t>
            </w:r>
            <w:r>
              <w:rPr>
                <w:rFonts w:hint="eastAsia" w:ascii="仿宋_GB2312" w:hAnsi="仿宋" w:eastAsia="仿宋_GB2312"/>
                <w:sz w:val="24"/>
                <w:lang w:bidi="th-TH"/>
              </w:rPr>
              <w:t>）。每提供1份有效</w:t>
            </w:r>
            <w:r>
              <w:rPr>
                <w:rFonts w:hint="eastAsia" w:ascii="仿宋_GB2312" w:hAnsi="仿宋" w:eastAsia="仿宋_GB2312"/>
                <w:sz w:val="24"/>
                <w:lang w:eastAsia="zh-CN" w:bidi="th-TH"/>
              </w:rPr>
              <w:t>证明</w:t>
            </w:r>
            <w:r>
              <w:rPr>
                <w:rFonts w:hint="eastAsia" w:ascii="仿宋_GB2312" w:hAnsi="仿宋" w:eastAsia="仿宋_GB2312"/>
                <w:sz w:val="24"/>
                <w:lang w:bidi="th-TH"/>
              </w:rPr>
              <w:t>得4分，满分20分。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tcBorders>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行业标准起草经历</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仿宋_GB2312" w:hAnsi="仿宋" w:eastAsia="仿宋_GB2312"/>
                <w:sz w:val="24"/>
                <w:lang w:bidi="th-TH"/>
              </w:rPr>
            </w:pPr>
            <w:r>
              <w:rPr>
                <w:rFonts w:hint="eastAsia" w:ascii="仿宋_GB2312" w:hAnsi="仿宋" w:eastAsia="仿宋_GB2312"/>
                <w:sz w:val="24"/>
                <w:lang w:bidi="th-TH"/>
              </w:rPr>
              <w:t>参与广电行业应急广播技术标准研究和制定的，每参与1项行业标准得</w:t>
            </w:r>
            <w:r>
              <w:rPr>
                <w:rFonts w:ascii="仿宋_GB2312" w:hAnsi="仿宋" w:eastAsia="仿宋_GB2312"/>
                <w:sz w:val="24"/>
                <w:lang w:bidi="th-TH"/>
              </w:rPr>
              <w:t>2</w:t>
            </w:r>
            <w:r>
              <w:rPr>
                <w:rFonts w:hint="eastAsia" w:ascii="仿宋_GB2312" w:hAnsi="仿宋" w:eastAsia="仿宋_GB2312"/>
                <w:sz w:val="24"/>
                <w:lang w:bidi="th-TH"/>
              </w:rPr>
              <w:t>分（</w:t>
            </w:r>
            <w:r>
              <w:rPr>
                <w:rFonts w:hint="eastAsia" w:ascii="仿宋_GB2312" w:hAnsi="仿宋" w:eastAsia="仿宋_GB2312"/>
                <w:sz w:val="24"/>
                <w:szCs w:val="24"/>
                <w:lang w:bidi="th-TH"/>
              </w:rPr>
              <w:t>要求提供</w:t>
            </w:r>
            <w:r>
              <w:rPr>
                <w:rFonts w:hint="eastAsia" w:ascii="仿宋_GB2312" w:hAnsi="仿宋" w:eastAsia="仿宋_GB2312"/>
                <w:sz w:val="24"/>
                <w:szCs w:val="24"/>
                <w:lang w:eastAsia="zh-CN" w:bidi="th-TH"/>
              </w:rPr>
              <w:t>行业标准等证明材料。</w:t>
            </w:r>
            <w:r>
              <w:rPr>
                <w:rFonts w:hint="eastAsia" w:ascii="仿宋_GB2312" w:hAnsi="仿宋" w:eastAsia="仿宋_GB2312"/>
                <w:sz w:val="24"/>
                <w:szCs w:val="24"/>
                <w:lang w:bidi="th-TH"/>
              </w:rPr>
              <w:t>评分中出现无证明资料或专家无法凭所提供资料判断是否得分的情况，一律作不得分处理。</w:t>
            </w:r>
            <w:r>
              <w:rPr>
                <w:rFonts w:hint="eastAsia" w:ascii="仿宋_GB2312" w:hAnsi="仿宋" w:eastAsia="仿宋_GB2312"/>
                <w:sz w:val="24"/>
                <w:lang w:bidi="th-TH"/>
              </w:rPr>
              <w:t>），最高得</w:t>
            </w:r>
            <w:r>
              <w:rPr>
                <w:rFonts w:hint="eastAsia" w:ascii="仿宋_GB2312" w:hAnsi="仿宋" w:eastAsia="仿宋_GB2312"/>
                <w:sz w:val="24"/>
                <w:lang w:val="en-US" w:eastAsia="zh-CN" w:bidi="th-TH"/>
              </w:rPr>
              <w:t>2</w:t>
            </w:r>
            <w:r>
              <w:rPr>
                <w:rFonts w:hint="eastAsia" w:ascii="仿宋_GB2312" w:hAnsi="仿宋" w:eastAsia="仿宋_GB2312"/>
                <w:sz w:val="24"/>
                <w:lang w:bidi="th-TH"/>
              </w:rPr>
              <w:t>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77" w:hRule="atLeast"/>
          <w:tblHeader/>
        </w:trPr>
        <w:tc>
          <w:tcPr>
            <w:tcW w:w="1147" w:type="dxa"/>
            <w:tcBorders>
              <w:left w:val="single" w:color="auto" w:sz="8" w:space="0"/>
              <w:right w:val="single" w:color="auto" w:sz="6" w:space="0"/>
            </w:tcBorders>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ascii="宋体" w:hAnsi="宋体" w:cs="宋体"/>
                <w:color w:val="000000"/>
                <w:kern w:val="0"/>
                <w:sz w:val="24"/>
              </w:rPr>
            </w:pPr>
          </w:p>
        </w:tc>
        <w:tc>
          <w:tcPr>
            <w:tcW w:w="16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资质</w:t>
            </w:r>
          </w:p>
        </w:tc>
        <w:tc>
          <w:tcPr>
            <w:tcW w:w="23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045" w:type="dxa"/>
            <w:tcBorders>
              <w:top w:val="single" w:color="auto" w:sz="6" w:space="0"/>
              <w:left w:val="single" w:color="auto" w:sz="6" w:space="0"/>
              <w:bottom w:val="single" w:color="auto" w:sz="6"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仿宋_GB2312" w:hAnsi="仿宋" w:eastAsia="仿宋_GB2312"/>
                <w:sz w:val="24"/>
                <w:lang w:val="en-US" w:eastAsia="zh-CN" w:bidi="th-TH"/>
              </w:rPr>
            </w:pPr>
            <w:r>
              <w:rPr>
                <w:rFonts w:hint="eastAsia" w:ascii="仿宋_GB2312" w:hAnsi="仿宋" w:eastAsia="仿宋_GB2312"/>
                <w:sz w:val="24"/>
                <w:lang w:eastAsia="zh-CN" w:bidi="th-TH"/>
              </w:rPr>
              <w:t>提供《工程咨询单位甲级资信证书》（复印件），可提供得</w:t>
            </w:r>
            <w:r>
              <w:rPr>
                <w:rFonts w:hint="eastAsia" w:ascii="仿宋_GB2312" w:hAnsi="仿宋" w:eastAsia="仿宋_GB2312"/>
                <w:sz w:val="24"/>
                <w:lang w:val="en-US" w:eastAsia="zh-CN" w:bidi="th-TH"/>
              </w:rPr>
              <w:t>10分。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8" w:hRule="atLeast"/>
          <w:tblHeader/>
        </w:trPr>
        <w:tc>
          <w:tcPr>
            <w:tcW w:w="5137" w:type="dxa"/>
            <w:gridSpan w:val="3"/>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ascii="宋体" w:hAnsi="宋体" w:cs="宋体"/>
                <w:b/>
                <w:color w:val="000000"/>
                <w:kern w:val="0"/>
                <w:sz w:val="24"/>
              </w:rPr>
            </w:pPr>
            <w:r>
              <w:rPr>
                <w:rFonts w:hint="eastAsia" w:ascii="宋体" w:hAnsi="宋体" w:cs="宋体"/>
                <w:bCs/>
                <w:color w:val="000000"/>
                <w:kern w:val="0"/>
                <w:sz w:val="24"/>
              </w:rPr>
              <w:t>评分合计</w:t>
            </w:r>
          </w:p>
        </w:tc>
        <w:tc>
          <w:tcPr>
            <w:tcW w:w="9045" w:type="dxa"/>
            <w:tcBorders>
              <w:top w:val="single" w:color="auto" w:sz="6" w:space="0"/>
              <w:left w:val="single" w:color="auto" w:sz="8" w:space="0"/>
              <w:bottom w:val="single" w:color="auto" w:sz="8" w:space="0"/>
              <w:right w:val="single" w:color="auto" w:sz="8"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ascii="宋体" w:hAnsi="宋体" w:cs="宋体"/>
                <w:b/>
                <w:color w:val="000000"/>
                <w:kern w:val="0"/>
                <w:sz w:val="24"/>
              </w:rPr>
            </w:pPr>
          </w:p>
        </w:tc>
      </w:tr>
    </w:tbl>
    <w:p>
      <w:pPr>
        <w:keepNext w:val="0"/>
        <w:keepLines w:val="0"/>
        <w:pageBreakBefore w:val="0"/>
        <w:kinsoku/>
        <w:wordWrap w:val="0"/>
        <w:overflowPunct/>
        <w:topLinePunct w:val="0"/>
        <w:autoSpaceDE/>
        <w:autoSpaceDN/>
        <w:bidi w:val="0"/>
        <w:adjustRightInd/>
        <w:snapToGrid/>
        <w:spacing w:line="560" w:lineRule="exact"/>
        <w:ind w:right="420"/>
        <w:jc w:val="right"/>
        <w:textAlignment w:val="auto"/>
        <w:rPr>
          <w:b/>
          <w:sz w:val="24"/>
        </w:rPr>
      </w:pPr>
    </w:p>
    <w:p>
      <w:pPr>
        <w:keepNext w:val="0"/>
        <w:keepLines w:val="0"/>
        <w:pageBreakBefore w:val="0"/>
        <w:kinsoku/>
        <w:overflowPunct/>
        <w:topLinePunct w:val="0"/>
        <w:autoSpaceDE/>
        <w:autoSpaceDN/>
        <w:bidi w:val="0"/>
        <w:adjustRightInd/>
        <w:snapToGrid/>
        <w:spacing w:line="560" w:lineRule="exact"/>
        <w:ind w:right="420"/>
        <w:jc w:val="center"/>
        <w:textAlignment w:val="auto"/>
        <w:rPr>
          <w:b/>
          <w:sz w:val="28"/>
          <w:szCs w:val="28"/>
        </w:rPr>
      </w:pPr>
      <w:r>
        <w:rPr>
          <w:rFonts w:hint="eastAsia"/>
          <w:b/>
          <w:sz w:val="28"/>
          <w:szCs w:val="28"/>
        </w:rPr>
        <w:t>评标小组评分员签名：                               日期：</w:t>
      </w:r>
    </w:p>
    <w:sectPr>
      <w:headerReference r:id="rId3" w:type="default"/>
      <w:pgSz w:w="16838" w:h="11906" w:orient="landscape"/>
      <w:pgMar w:top="851"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华文楷体">
    <w:panose1 w:val="02010600040101010101"/>
    <w:charset w:val="86"/>
    <w:family w:val="auto"/>
    <w:pitch w:val="default"/>
    <w:sig w:usb0="00000287" w:usb1="080F0000" w:usb2="00000000" w:usb3="00000000" w:csb0="0004009F" w:csb1="DFD70000"/>
  </w:font>
  <w:font w:name="CESI小标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D4"/>
    <w:rsid w:val="0003073F"/>
    <w:rsid w:val="00032217"/>
    <w:rsid w:val="000329D3"/>
    <w:rsid w:val="00043F7E"/>
    <w:rsid w:val="000C5EFA"/>
    <w:rsid w:val="001154E1"/>
    <w:rsid w:val="00145E28"/>
    <w:rsid w:val="0015371E"/>
    <w:rsid w:val="0019607D"/>
    <w:rsid w:val="001B13A0"/>
    <w:rsid w:val="001F0AD6"/>
    <w:rsid w:val="00234574"/>
    <w:rsid w:val="002720FA"/>
    <w:rsid w:val="002844CB"/>
    <w:rsid w:val="002C091A"/>
    <w:rsid w:val="002C15B2"/>
    <w:rsid w:val="002F5F65"/>
    <w:rsid w:val="00304766"/>
    <w:rsid w:val="003069DB"/>
    <w:rsid w:val="0033255C"/>
    <w:rsid w:val="003B76B8"/>
    <w:rsid w:val="003B7D7B"/>
    <w:rsid w:val="003D3200"/>
    <w:rsid w:val="00423724"/>
    <w:rsid w:val="004A6B7F"/>
    <w:rsid w:val="004C7867"/>
    <w:rsid w:val="004E5155"/>
    <w:rsid w:val="00540A6B"/>
    <w:rsid w:val="00557CA6"/>
    <w:rsid w:val="00566423"/>
    <w:rsid w:val="005708E5"/>
    <w:rsid w:val="0057592C"/>
    <w:rsid w:val="00594FD0"/>
    <w:rsid w:val="005D51CF"/>
    <w:rsid w:val="00610339"/>
    <w:rsid w:val="00636170"/>
    <w:rsid w:val="00636E75"/>
    <w:rsid w:val="00642D2D"/>
    <w:rsid w:val="00645449"/>
    <w:rsid w:val="006A7AFD"/>
    <w:rsid w:val="006C465A"/>
    <w:rsid w:val="0079789F"/>
    <w:rsid w:val="007A2570"/>
    <w:rsid w:val="007B31C7"/>
    <w:rsid w:val="007B7B10"/>
    <w:rsid w:val="007C27A3"/>
    <w:rsid w:val="007E32C1"/>
    <w:rsid w:val="007F4FFF"/>
    <w:rsid w:val="00821C50"/>
    <w:rsid w:val="00822E85"/>
    <w:rsid w:val="00824951"/>
    <w:rsid w:val="00836506"/>
    <w:rsid w:val="008D3A59"/>
    <w:rsid w:val="008F779E"/>
    <w:rsid w:val="00954E87"/>
    <w:rsid w:val="00960C9A"/>
    <w:rsid w:val="0096254A"/>
    <w:rsid w:val="009649FC"/>
    <w:rsid w:val="009A4202"/>
    <w:rsid w:val="009D0294"/>
    <w:rsid w:val="009E09D6"/>
    <w:rsid w:val="009F6F58"/>
    <w:rsid w:val="00A9573A"/>
    <w:rsid w:val="00AA1F22"/>
    <w:rsid w:val="00AC2668"/>
    <w:rsid w:val="00AC375E"/>
    <w:rsid w:val="00B11699"/>
    <w:rsid w:val="00B13334"/>
    <w:rsid w:val="00B322FB"/>
    <w:rsid w:val="00B47CD9"/>
    <w:rsid w:val="00B549B8"/>
    <w:rsid w:val="00B82281"/>
    <w:rsid w:val="00B87BDB"/>
    <w:rsid w:val="00B9205E"/>
    <w:rsid w:val="00BF1079"/>
    <w:rsid w:val="00C432A3"/>
    <w:rsid w:val="00C615BF"/>
    <w:rsid w:val="00C92741"/>
    <w:rsid w:val="00CE6856"/>
    <w:rsid w:val="00D1604D"/>
    <w:rsid w:val="00D40FA9"/>
    <w:rsid w:val="00DA2841"/>
    <w:rsid w:val="00DF0E24"/>
    <w:rsid w:val="00DF6A98"/>
    <w:rsid w:val="00E42999"/>
    <w:rsid w:val="00E70ADE"/>
    <w:rsid w:val="00E737D4"/>
    <w:rsid w:val="00E8732D"/>
    <w:rsid w:val="00EA62B9"/>
    <w:rsid w:val="00EC6F81"/>
    <w:rsid w:val="00ED170A"/>
    <w:rsid w:val="00ED5ECF"/>
    <w:rsid w:val="00EE75F1"/>
    <w:rsid w:val="00F11786"/>
    <w:rsid w:val="00F40B53"/>
    <w:rsid w:val="00F503D2"/>
    <w:rsid w:val="00F721CD"/>
    <w:rsid w:val="00FA0DE8"/>
    <w:rsid w:val="00FB4E43"/>
    <w:rsid w:val="00FC521E"/>
    <w:rsid w:val="00FD2E0D"/>
    <w:rsid w:val="00FF5D04"/>
    <w:rsid w:val="07E72B91"/>
    <w:rsid w:val="08E42C95"/>
    <w:rsid w:val="09CD1701"/>
    <w:rsid w:val="15F21286"/>
    <w:rsid w:val="1AD5753C"/>
    <w:rsid w:val="1FDA336A"/>
    <w:rsid w:val="23CDD918"/>
    <w:rsid w:val="2A7B2A15"/>
    <w:rsid w:val="2EEE64AF"/>
    <w:rsid w:val="2FF516EE"/>
    <w:rsid w:val="39EE6C6B"/>
    <w:rsid w:val="3BAF57CB"/>
    <w:rsid w:val="443607EC"/>
    <w:rsid w:val="529412C8"/>
    <w:rsid w:val="5A6437AF"/>
    <w:rsid w:val="5CB5FBC0"/>
    <w:rsid w:val="673F94E4"/>
    <w:rsid w:val="6BABC627"/>
    <w:rsid w:val="6DEF14E0"/>
    <w:rsid w:val="7677282C"/>
    <w:rsid w:val="79F28605"/>
    <w:rsid w:val="7BA24503"/>
    <w:rsid w:val="7D77CCA8"/>
    <w:rsid w:val="7EF3D2D2"/>
    <w:rsid w:val="7F1603C6"/>
    <w:rsid w:val="7F9F2665"/>
    <w:rsid w:val="BFBC1B12"/>
    <w:rsid w:val="C96F7598"/>
    <w:rsid w:val="CFDF6811"/>
    <w:rsid w:val="EEDF33C2"/>
    <w:rsid w:val="F35F0DFD"/>
    <w:rsid w:val="F3DF01D2"/>
    <w:rsid w:val="F7EB04A6"/>
    <w:rsid w:val="FCFBC783"/>
    <w:rsid w:val="FDC70107"/>
    <w:rsid w:val="FDF3F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83</Words>
  <Characters>476</Characters>
  <Lines>3</Lines>
  <Paragraphs>1</Paragraphs>
  <TotalTime>21</TotalTime>
  <ScaleCrop>false</ScaleCrop>
  <LinksUpToDate>false</LinksUpToDate>
  <CharactersWithSpaces>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2020-06-11T14:56:00Z</dcterms:created>
  <dc:creator>微软中国</dc:creator>
  <cp:lastModifiedBy>wtjxdn</cp:lastModifiedBy>
  <cp:lastPrinted>2019-04-20T10:27:00Z</cp:lastPrinted>
  <dcterms:modified xsi:type="dcterms:W3CDTF">2022-07-19T17:33:29Z</dcterms:modified>
  <dc:title>内部评审项目评分表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