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黑体" w:hAnsi="宋体" w:eastAsia="黑体" w:cs="黑体"/>
          <w:b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b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333333"/>
          <w:kern w:val="2"/>
          <w:sz w:val="44"/>
          <w:szCs w:val="44"/>
          <w:shd w:val="clear" w:fill="FFFFFF"/>
          <w:lang w:val="en-US" w:eastAsia="zh-CN" w:bidi="ar"/>
        </w:rPr>
      </w:pPr>
      <w:bookmarkStart w:id="0" w:name="_GoBack"/>
      <w:r>
        <w:rPr>
          <w:rFonts w:hint="eastAsia" w:ascii="仿宋_GB2312" w:hAnsi="Calibri" w:eastAsia="仿宋_GB2312" w:cs="仿宋_GB2312"/>
          <w:color w:val="333333"/>
          <w:kern w:val="2"/>
          <w:sz w:val="32"/>
          <w:szCs w:val="32"/>
          <w:shd w:val="clear" w:fill="FFFFFF"/>
          <w:lang w:val="en-US" w:eastAsia="zh-CN" w:bidi="ar"/>
        </w:rPr>
        <w:t>×××</w:t>
      </w:r>
      <w:r>
        <w:rPr>
          <w:rFonts w:hint="eastAsia" w:ascii="方正小标宋简体" w:hAnsi="方正小标宋简体" w:eastAsia="方正小标宋简体" w:cs="方正小标宋简体"/>
          <w:color w:val="333333"/>
          <w:kern w:val="2"/>
          <w:sz w:val="44"/>
          <w:szCs w:val="44"/>
          <w:shd w:val="clear" w:fill="FFFFFF"/>
          <w:lang w:val="en-US" w:eastAsia="zh-CN" w:bidi="ar"/>
        </w:rPr>
        <w:t>公司关于2022年上半年单用途商业预付卡发卡运营情况的报告（提纲）</w:t>
      </w:r>
    </w:p>
    <w:bookmarkEnd w:id="0"/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kern w:val="2"/>
          <w:sz w:val="36"/>
          <w:szCs w:val="36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宋体" w:eastAsia="黑体" w:cs="黑体"/>
          <w:color w:val="333333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color w:val="333333"/>
          <w:kern w:val="2"/>
          <w:sz w:val="32"/>
          <w:szCs w:val="32"/>
          <w:shd w:val="clear" w:fill="FFFFFF"/>
          <w:lang w:val="en-US" w:eastAsia="zh-CN" w:bidi="ar"/>
        </w:rPr>
        <w:t>一、单用途商业预付卡发卡背景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333333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333333"/>
          <w:kern w:val="2"/>
          <w:sz w:val="32"/>
          <w:szCs w:val="32"/>
          <w:shd w:val="clear" w:fill="FFFFFF"/>
          <w:lang w:val="en-US" w:eastAsia="zh-CN" w:bidi="ar"/>
        </w:rPr>
        <w:t>包括但不限于发卡公司的经营范围、主营业务、公司运营、业务收入等。公司发行的预付卡种类、面值及使用范围。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宋体" w:eastAsia="黑体" w:cs="黑体"/>
          <w:color w:val="333333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color w:val="333333"/>
          <w:kern w:val="2"/>
          <w:sz w:val="32"/>
          <w:szCs w:val="32"/>
          <w:shd w:val="clear" w:fill="FFFFFF"/>
          <w:lang w:val="en-US" w:eastAsia="zh-CN" w:bidi="ar"/>
        </w:rPr>
        <w:t>二、2022年上半年发卡及兑付情况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333333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333333"/>
          <w:kern w:val="2"/>
          <w:sz w:val="32"/>
          <w:szCs w:val="32"/>
          <w:shd w:val="clear" w:fill="FFFFFF"/>
          <w:lang w:val="en-US" w:eastAsia="zh-CN" w:bidi="ar"/>
        </w:rPr>
        <w:t>包括但不限于发卡金额，发卡数量；预付卡销售情况（含开具发票情况），兑付金额，预收资金余额，未兑付卡数量及未兑付卡有效期情况。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333333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333333"/>
          <w:kern w:val="2"/>
          <w:sz w:val="32"/>
          <w:szCs w:val="32"/>
          <w:shd w:val="clear" w:fill="FFFFFF"/>
          <w:lang w:val="en-US" w:eastAsia="zh-CN" w:bidi="ar"/>
        </w:rPr>
        <w:t>公司预收资金管理及使用情况。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宋体" w:eastAsia="黑体" w:cs="黑体"/>
          <w:color w:val="333333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color w:val="333333"/>
          <w:kern w:val="2"/>
          <w:sz w:val="32"/>
          <w:szCs w:val="32"/>
          <w:shd w:val="clear" w:fill="FFFFFF"/>
          <w:lang w:val="en-US" w:eastAsia="zh-CN" w:bidi="ar"/>
        </w:rPr>
        <w:t>三、“三项制度”执行情况。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333333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333333"/>
          <w:kern w:val="2"/>
          <w:sz w:val="32"/>
          <w:szCs w:val="32"/>
          <w:shd w:val="clear" w:fill="FFFFFF"/>
          <w:lang w:val="en-US" w:eastAsia="zh-CN" w:bidi="ar"/>
        </w:rPr>
        <w:t>包括但不限于发卡企业执行“实名登记”、“非现金购卡”和“限额发行”三项制度的情况。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宋体" w:eastAsia="黑体" w:cs="黑体"/>
          <w:color w:val="333333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color w:val="333333"/>
          <w:kern w:val="2"/>
          <w:sz w:val="32"/>
          <w:szCs w:val="32"/>
          <w:shd w:val="clear" w:fill="FFFFFF"/>
          <w:lang w:val="en-US" w:eastAsia="zh-CN" w:bidi="ar"/>
        </w:rPr>
        <w:t>四、资金存管情况。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333333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333333"/>
          <w:kern w:val="2"/>
          <w:sz w:val="32"/>
          <w:szCs w:val="32"/>
          <w:shd w:val="clear" w:fill="FFFFFF"/>
          <w:lang w:val="en-US" w:eastAsia="zh-CN" w:bidi="ar"/>
        </w:rPr>
        <w:t>包括但不限于发卡企业存管资金全年调用情况，各季度资金存管比例是否达标（保函或保证保险有效性），金融机构确认资金保障状态等情况。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宋体" w:eastAsia="黑体" w:cs="黑体"/>
          <w:color w:val="333333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color w:val="333333"/>
          <w:kern w:val="2"/>
          <w:sz w:val="32"/>
          <w:szCs w:val="32"/>
          <w:shd w:val="clear" w:fill="FFFFFF"/>
          <w:lang w:val="en-US" w:eastAsia="zh-CN" w:bidi="ar"/>
        </w:rPr>
        <w:t>五、发卡企业业务运行系统情况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333333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333333"/>
          <w:kern w:val="2"/>
          <w:sz w:val="32"/>
          <w:szCs w:val="32"/>
          <w:shd w:val="clear" w:fill="FFFFFF"/>
          <w:lang w:val="en-US" w:eastAsia="zh-CN" w:bidi="ar"/>
        </w:rPr>
        <w:t>有关预付卡业务系统的运行情况，包括但不限于系统处理能力，系统安全性，系统运行故障及处理情况，灾备情况等。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宋体" w:eastAsia="黑体" w:cs="黑体"/>
          <w:color w:val="333333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color w:val="333333"/>
          <w:kern w:val="2"/>
          <w:sz w:val="32"/>
          <w:szCs w:val="32"/>
          <w:shd w:val="clear" w:fill="FFFFFF"/>
          <w:lang w:val="en-US" w:eastAsia="zh-CN" w:bidi="ar"/>
        </w:rPr>
        <w:t>六、客户服务情况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333333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333333"/>
          <w:kern w:val="2"/>
          <w:sz w:val="32"/>
          <w:szCs w:val="32"/>
          <w:shd w:val="clear" w:fill="FFFFFF"/>
          <w:lang w:val="en-US" w:eastAsia="zh-CN" w:bidi="ar"/>
        </w:rPr>
        <w:t>有关预付卡的客户服务情况，包括但不限于购卡协议签订情况、预付卡延期、换卡、退卡等配套服务情况；相关的客户投诉及处理情况。客户信息保护情况。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333333"/>
          <w:kern w:val="2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eastAsia" w:ascii="仿宋_GB2312" w:hAnsi="Calibri" w:eastAsia="仿宋_GB2312" w:cs="仿宋_GB2312"/>
          <w:color w:val="333333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333333"/>
          <w:kern w:val="2"/>
          <w:sz w:val="32"/>
          <w:szCs w:val="32"/>
          <w:shd w:val="clear" w:fill="FFFFFF"/>
          <w:lang w:val="en-US" w:eastAsia="zh-CN" w:bidi="ar"/>
        </w:rPr>
        <w:t xml:space="preserve">                    ××公司（盖章）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eastAsia" w:ascii="仿宋_GB2312" w:hAnsi="Calibri" w:eastAsia="仿宋_GB2312" w:cs="仿宋_GB2312"/>
          <w:color w:val="333333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333333"/>
          <w:kern w:val="2"/>
          <w:sz w:val="32"/>
          <w:szCs w:val="32"/>
          <w:shd w:val="clear" w:fill="FFFFFF"/>
          <w:lang w:val="en-US" w:eastAsia="zh-CN" w:bidi="ar"/>
        </w:rPr>
        <w:t xml:space="preserve">                   年    月    日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eastAsia" w:ascii="仿宋_GB2312" w:hAnsi="Calibri" w:eastAsia="仿宋_GB2312" w:cs="仿宋_GB2312"/>
          <w:color w:val="333333"/>
          <w:kern w:val="2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Calibri" w:eastAsia="仿宋_GB2312" w:cs="仿宋_GB2312"/>
          <w:color w:val="333333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333333"/>
          <w:kern w:val="2"/>
          <w:sz w:val="32"/>
          <w:szCs w:val="32"/>
          <w:shd w:val="clear" w:fill="FFFFFF"/>
          <w:lang w:val="en-US" w:eastAsia="zh-CN" w:bidi="ar"/>
        </w:rPr>
        <w:t>（联系人：××，联系电话：××）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333333"/>
          <w:kern w:val="2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333333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333333"/>
          <w:kern w:val="2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1278" w:leftChars="304" w:right="0" w:hanging="640" w:hangingChars="200"/>
        <w:jc w:val="both"/>
        <w:textAlignment w:val="auto"/>
        <w:rPr>
          <w:rFonts w:hint="eastAsia" w:ascii="仿宋_GB2312" w:hAnsi="Calibri" w:eastAsia="仿宋_GB2312" w:cs="仿宋_GB2312"/>
          <w:color w:val="333333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333333"/>
          <w:kern w:val="2"/>
          <w:sz w:val="32"/>
          <w:szCs w:val="32"/>
          <w:shd w:val="clear" w:fill="FFFFFF"/>
          <w:lang w:val="en-US" w:eastAsia="zh-CN" w:bidi="ar"/>
        </w:rPr>
        <w:t>公司盖章的2021年财务报表（包括资产负债表，损益表、现金流量表）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1278" w:leftChars="304" w:right="0" w:hanging="640" w:hanging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Calibri" w:eastAsia="仿宋_GB2312" w:cs="仿宋_GB2312"/>
          <w:color w:val="333333"/>
          <w:kern w:val="2"/>
          <w:sz w:val="32"/>
          <w:szCs w:val="32"/>
          <w:shd w:val="clear" w:fill="FFFFFF"/>
          <w:lang w:val="en-US" w:eastAsia="zh-CN" w:bidi="ar"/>
        </w:rPr>
        <w:t>公司报告内容的佐证材料（包括但不限于公司及第三方提供的证明、证书、对账单等文件复印件、照片，网页截图等）。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ADF9C"/>
    <w:multiLevelType w:val="singleLevel"/>
    <w:tmpl w:val="CF7ADF9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B91CA"/>
    <w:rsid w:val="FDFB9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2022-07-11T14:51:00Z</dcterms:created>
  <dc:creator>市场建设处公共账号(黄泽锋)</dc:creator>
  <cp:lastModifiedBy>市场建设处公共账号(黄泽锋)</cp:lastModifiedBy>
  <dcterms:modified xsi:type="dcterms:W3CDTF">2022-07-11T14:53:50Z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