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cs="宋体"/>
          <w:kern w:val="0"/>
          <w:sz w:val="28"/>
          <w:szCs w:val="28"/>
        </w:rPr>
      </w:pPr>
    </w:p>
    <w:p>
      <w:pPr>
        <w:jc w:val="center"/>
        <w:rPr>
          <w:b/>
          <w:sz w:val="72"/>
          <w:szCs w:val="72"/>
        </w:rPr>
      </w:pPr>
    </w:p>
    <w:p>
      <w:pPr>
        <w:jc w:val="center"/>
        <w:rPr>
          <w:b/>
          <w:sz w:val="72"/>
          <w:szCs w:val="72"/>
        </w:rPr>
      </w:pPr>
    </w:p>
    <w:p>
      <w:pPr>
        <w:jc w:val="center"/>
        <w:rPr>
          <w:b/>
          <w:sz w:val="72"/>
          <w:szCs w:val="72"/>
        </w:rPr>
      </w:pPr>
      <w:r>
        <w:rPr>
          <w:rFonts w:hint="eastAsia"/>
          <w:b/>
          <w:sz w:val="72"/>
          <w:szCs w:val="72"/>
        </w:rPr>
        <w:t>简易招标文件</w:t>
      </w:r>
    </w:p>
    <w:p/>
    <w:p>
      <w:pPr>
        <w:rPr>
          <w:b/>
          <w:sz w:val="44"/>
        </w:rPr>
      </w:pPr>
    </w:p>
    <w:p>
      <w:pPr>
        <w:ind w:left="437" w:leftChars="208" w:firstLine="271" w:firstLineChars="75"/>
        <w:rPr>
          <w:b/>
          <w:sz w:val="36"/>
          <w:szCs w:val="36"/>
        </w:rPr>
      </w:pPr>
      <w:r>
        <w:rPr>
          <w:rFonts w:hint="eastAsia"/>
          <w:b/>
          <w:sz w:val="36"/>
          <w:szCs w:val="36"/>
        </w:rPr>
        <w:t>招标编号：</w:t>
      </w:r>
      <w:r>
        <w:rPr>
          <w:rFonts w:hint="eastAsia"/>
          <w:b/>
          <w:sz w:val="36"/>
          <w:szCs w:val="36"/>
          <w:highlight w:val="none"/>
        </w:rPr>
        <w:t>QH20210</w:t>
      </w:r>
      <w:r>
        <w:rPr>
          <w:rFonts w:hint="eastAsia"/>
          <w:b/>
          <w:sz w:val="36"/>
          <w:szCs w:val="36"/>
        </w:rPr>
        <w:t>58</w:t>
      </w:r>
    </w:p>
    <w:p>
      <w:pPr>
        <w:ind w:firstLine="723" w:firstLineChars="200"/>
        <w:rPr>
          <w:b/>
          <w:sz w:val="36"/>
          <w:szCs w:val="36"/>
        </w:rPr>
      </w:pPr>
    </w:p>
    <w:p>
      <w:pPr>
        <w:ind w:left="2511" w:leftChars="344" w:hanging="1789" w:hangingChars="495"/>
        <w:rPr>
          <w:b/>
          <w:sz w:val="36"/>
          <w:szCs w:val="36"/>
        </w:rPr>
      </w:pPr>
      <w:r>
        <w:rPr>
          <w:rFonts w:hint="eastAsia"/>
          <w:b/>
          <w:sz w:val="36"/>
          <w:szCs w:val="36"/>
        </w:rPr>
        <w:t>招标项目：深港合作战略下的前海城市综合运营模式研究项目</w:t>
      </w:r>
    </w:p>
    <w:p>
      <w:pPr>
        <w:ind w:firstLine="3264" w:firstLineChars="739"/>
        <w:rPr>
          <w:b/>
          <w:sz w:val="44"/>
        </w:rPr>
      </w:pPr>
    </w:p>
    <w:p>
      <w:pPr>
        <w:ind w:firstLine="442" w:firstLineChars="100"/>
        <w:rPr>
          <w:b/>
          <w:sz w:val="44"/>
        </w:rPr>
      </w:pPr>
    </w:p>
    <w:p>
      <w:pPr>
        <w:ind w:left="1260" w:leftChars="600" w:firstLine="1855" w:firstLineChars="420"/>
        <w:rPr>
          <w:b/>
          <w:sz w:val="44"/>
        </w:rPr>
      </w:pPr>
    </w:p>
    <w:p>
      <w:pPr>
        <w:rPr>
          <w:b/>
          <w:sz w:val="44"/>
        </w:rPr>
      </w:pPr>
    </w:p>
    <w:p>
      <w:pPr>
        <w:rPr>
          <w:b/>
          <w:sz w:val="44"/>
        </w:rPr>
      </w:pPr>
    </w:p>
    <w:p>
      <w:pPr>
        <w:jc w:val="center"/>
        <w:rPr>
          <w:b/>
          <w:sz w:val="36"/>
          <w:szCs w:val="36"/>
        </w:rPr>
      </w:pPr>
      <w:r>
        <w:rPr>
          <w:rFonts w:hint="eastAsia"/>
          <w:b/>
          <w:sz w:val="36"/>
          <w:szCs w:val="36"/>
        </w:rPr>
        <w:t>深圳市前海深港现代服务业合作区管理局</w:t>
      </w:r>
    </w:p>
    <w:p>
      <w:pPr>
        <w:jc w:val="center"/>
        <w:rPr>
          <w:sz w:val="36"/>
          <w:szCs w:val="36"/>
        </w:rPr>
      </w:pPr>
    </w:p>
    <w:p>
      <w:pPr>
        <w:jc w:val="center"/>
        <w:rPr>
          <w:b/>
          <w:sz w:val="44"/>
        </w:rPr>
      </w:pPr>
      <w:r>
        <w:rPr>
          <w:rFonts w:hint="eastAsia"/>
          <w:b/>
          <w:sz w:val="44"/>
        </w:rPr>
        <w:t>20</w:t>
      </w:r>
      <w:r>
        <w:rPr>
          <w:b/>
          <w:sz w:val="44"/>
        </w:rPr>
        <w:t>2</w:t>
      </w:r>
      <w:r>
        <w:rPr>
          <w:rFonts w:hint="eastAsia"/>
          <w:b/>
          <w:sz w:val="44"/>
        </w:rPr>
        <w:t>1年11月</w:t>
      </w:r>
    </w:p>
    <w:p>
      <w:pPr>
        <w:pStyle w:val="15"/>
      </w:pPr>
    </w:p>
    <w:p>
      <w:pPr>
        <w:pStyle w:val="15"/>
        <w:jc w:val="both"/>
      </w:pPr>
    </w:p>
    <w:p/>
    <w:p>
      <w:pPr>
        <w:pStyle w:val="15"/>
        <w:tabs>
          <w:tab w:val="decimal" w:pos="142"/>
        </w:tabs>
        <w:rPr>
          <w:sz w:val="48"/>
          <w:szCs w:val="48"/>
        </w:rPr>
      </w:pPr>
    </w:p>
    <w:p>
      <w:pPr>
        <w:pStyle w:val="15"/>
        <w:rPr>
          <w:sz w:val="48"/>
          <w:szCs w:val="48"/>
        </w:rPr>
      </w:pPr>
      <w:r>
        <w:rPr>
          <w:rFonts w:hint="eastAsia"/>
          <w:sz w:val="48"/>
          <w:szCs w:val="48"/>
        </w:rPr>
        <w:t>目录</w:t>
      </w:r>
    </w:p>
    <w:p/>
    <w:p>
      <w:pPr>
        <w:pStyle w:val="15"/>
        <w:rPr>
          <w:b w:val="0"/>
          <w:sz w:val="24"/>
          <w:szCs w:val="24"/>
        </w:rPr>
      </w:pPr>
      <w:r>
        <w:rPr>
          <w:rFonts w:ascii="宋体" w:hAnsi="宋体"/>
          <w:b w:val="0"/>
          <w:bCs/>
          <w:sz w:val="24"/>
          <w:szCs w:val="24"/>
        </w:rPr>
        <w:fldChar w:fldCharType="begin"/>
      </w:r>
      <w:r>
        <w:rPr>
          <w:rFonts w:ascii="宋体" w:hAnsi="宋体"/>
          <w:b w:val="0"/>
          <w:bCs/>
          <w:sz w:val="24"/>
          <w:szCs w:val="24"/>
        </w:rPr>
        <w:instrText xml:space="preserve"> TOC \o "1-3" \h \z \u </w:instrText>
      </w:r>
      <w:r>
        <w:rPr>
          <w:rFonts w:ascii="宋体" w:hAnsi="宋体"/>
          <w:b w:val="0"/>
          <w:bCs/>
          <w:sz w:val="24"/>
          <w:szCs w:val="24"/>
        </w:rPr>
        <w:fldChar w:fldCharType="separate"/>
      </w:r>
      <w:r>
        <w:fldChar w:fldCharType="begin"/>
      </w:r>
      <w:r>
        <w:instrText xml:space="preserve"> HYPERLINK \l "_Toc76054640" </w:instrText>
      </w:r>
      <w:r>
        <w:fldChar w:fldCharType="separate"/>
      </w:r>
      <w:r>
        <w:rPr>
          <w:rStyle w:val="23"/>
          <w:rFonts w:hint="eastAsia"/>
          <w:sz w:val="24"/>
        </w:rPr>
        <w:t>第一章</w:t>
      </w:r>
      <w:r>
        <w:rPr>
          <w:rStyle w:val="23"/>
          <w:sz w:val="24"/>
        </w:rPr>
        <w:t xml:space="preserve"> </w:t>
      </w:r>
      <w:r>
        <w:rPr>
          <w:rStyle w:val="23"/>
          <w:rFonts w:hint="eastAsia"/>
          <w:sz w:val="24"/>
        </w:rPr>
        <w:t>招标公告</w:t>
      </w:r>
      <w:r>
        <w:rPr>
          <w:sz w:val="24"/>
          <w:szCs w:val="24"/>
        </w:rPr>
        <w:tab/>
      </w:r>
      <w:r>
        <w:rPr>
          <w:sz w:val="24"/>
          <w:szCs w:val="24"/>
        </w:rPr>
        <w:fldChar w:fldCharType="begin"/>
      </w:r>
      <w:r>
        <w:rPr>
          <w:sz w:val="24"/>
          <w:szCs w:val="24"/>
        </w:rPr>
        <w:instrText xml:space="preserve"> PAGEREF _Toc76054640 \h </w:instrText>
      </w:r>
      <w:r>
        <w:rPr>
          <w:sz w:val="24"/>
          <w:szCs w:val="24"/>
        </w:rPr>
        <w:fldChar w:fldCharType="separate"/>
      </w:r>
      <w:r>
        <w:rPr>
          <w:sz w:val="24"/>
          <w:szCs w:val="24"/>
        </w:rPr>
        <w:t>3</w:t>
      </w:r>
      <w:r>
        <w:rPr>
          <w:sz w:val="24"/>
          <w:szCs w:val="24"/>
        </w:rPr>
        <w:fldChar w:fldCharType="end"/>
      </w:r>
      <w:r>
        <w:rPr>
          <w:sz w:val="24"/>
          <w:szCs w:val="24"/>
        </w:rPr>
        <w:fldChar w:fldCharType="end"/>
      </w:r>
    </w:p>
    <w:p>
      <w:pPr>
        <w:pStyle w:val="15"/>
        <w:rPr>
          <w:b w:val="0"/>
          <w:sz w:val="24"/>
          <w:szCs w:val="24"/>
        </w:rPr>
      </w:pPr>
      <w:r>
        <w:fldChar w:fldCharType="begin"/>
      </w:r>
      <w:r>
        <w:instrText xml:space="preserve"> HYPERLINK \l "_Toc76054641" </w:instrText>
      </w:r>
      <w:r>
        <w:fldChar w:fldCharType="separate"/>
      </w:r>
      <w:r>
        <w:rPr>
          <w:rStyle w:val="23"/>
          <w:rFonts w:hint="eastAsia"/>
          <w:sz w:val="24"/>
        </w:rPr>
        <w:t>第二章</w:t>
      </w:r>
      <w:r>
        <w:rPr>
          <w:rStyle w:val="23"/>
          <w:sz w:val="24"/>
        </w:rPr>
        <w:t xml:space="preserve"> </w:t>
      </w:r>
      <w:r>
        <w:rPr>
          <w:rStyle w:val="23"/>
          <w:rFonts w:hint="eastAsia"/>
          <w:sz w:val="24"/>
        </w:rPr>
        <w:t>投标须知</w:t>
      </w:r>
      <w:r>
        <w:rPr>
          <w:sz w:val="24"/>
          <w:szCs w:val="24"/>
        </w:rPr>
        <w:tab/>
      </w:r>
      <w:r>
        <w:rPr>
          <w:sz w:val="24"/>
          <w:szCs w:val="24"/>
        </w:rPr>
        <w:fldChar w:fldCharType="begin"/>
      </w:r>
      <w:r>
        <w:rPr>
          <w:sz w:val="24"/>
          <w:szCs w:val="24"/>
        </w:rPr>
        <w:instrText xml:space="preserve"> PAGEREF _Toc76054641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15"/>
        <w:rPr>
          <w:b w:val="0"/>
          <w:sz w:val="24"/>
          <w:szCs w:val="24"/>
        </w:rPr>
      </w:pPr>
      <w:r>
        <w:fldChar w:fldCharType="begin"/>
      </w:r>
      <w:r>
        <w:instrText xml:space="preserve"> HYPERLINK \l "_Toc76054642" </w:instrText>
      </w:r>
      <w:r>
        <w:fldChar w:fldCharType="separate"/>
      </w:r>
      <w:r>
        <w:rPr>
          <w:rStyle w:val="23"/>
          <w:rFonts w:hint="eastAsia"/>
          <w:sz w:val="24"/>
        </w:rPr>
        <w:t>第三章</w:t>
      </w:r>
      <w:r>
        <w:rPr>
          <w:rStyle w:val="23"/>
          <w:sz w:val="24"/>
        </w:rPr>
        <w:t xml:space="preserve"> </w:t>
      </w:r>
      <w:r>
        <w:rPr>
          <w:rStyle w:val="23"/>
          <w:rFonts w:hint="eastAsia"/>
          <w:sz w:val="24"/>
        </w:rPr>
        <w:t>开标程序</w:t>
      </w:r>
      <w:r>
        <w:rPr>
          <w:sz w:val="24"/>
          <w:szCs w:val="24"/>
        </w:rPr>
        <w:tab/>
      </w:r>
      <w:r>
        <w:rPr>
          <w:sz w:val="24"/>
          <w:szCs w:val="24"/>
        </w:rPr>
        <w:fldChar w:fldCharType="begin"/>
      </w:r>
      <w:r>
        <w:rPr>
          <w:sz w:val="24"/>
          <w:szCs w:val="24"/>
        </w:rPr>
        <w:instrText xml:space="preserve"> PAGEREF _Toc76054642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15"/>
        <w:rPr>
          <w:b w:val="0"/>
          <w:sz w:val="24"/>
          <w:szCs w:val="24"/>
        </w:rPr>
      </w:pPr>
      <w:r>
        <w:fldChar w:fldCharType="begin"/>
      </w:r>
      <w:r>
        <w:instrText xml:space="preserve"> HYPERLINK \l "_Toc76054643" </w:instrText>
      </w:r>
      <w:r>
        <w:fldChar w:fldCharType="separate"/>
      </w:r>
      <w:r>
        <w:rPr>
          <w:rStyle w:val="23"/>
          <w:rFonts w:hint="eastAsia"/>
          <w:sz w:val="24"/>
        </w:rPr>
        <w:t>第四章</w:t>
      </w:r>
      <w:r>
        <w:rPr>
          <w:rStyle w:val="23"/>
          <w:sz w:val="24"/>
        </w:rPr>
        <w:t xml:space="preserve"> </w:t>
      </w:r>
      <w:r>
        <w:rPr>
          <w:rStyle w:val="23"/>
          <w:rFonts w:hint="eastAsia"/>
          <w:sz w:val="24"/>
        </w:rPr>
        <w:t>评标程序</w:t>
      </w:r>
      <w:r>
        <w:rPr>
          <w:sz w:val="24"/>
          <w:szCs w:val="24"/>
        </w:rPr>
        <w:tab/>
      </w:r>
      <w:r>
        <w:rPr>
          <w:sz w:val="24"/>
          <w:szCs w:val="24"/>
        </w:rPr>
        <w:fldChar w:fldCharType="begin"/>
      </w:r>
      <w:r>
        <w:rPr>
          <w:sz w:val="24"/>
          <w:szCs w:val="24"/>
        </w:rPr>
        <w:instrText xml:space="preserve"> PAGEREF _Toc76054643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5"/>
        <w:rPr>
          <w:b w:val="0"/>
          <w:sz w:val="24"/>
          <w:szCs w:val="24"/>
        </w:rPr>
      </w:pPr>
      <w:r>
        <w:fldChar w:fldCharType="begin"/>
      </w:r>
      <w:r>
        <w:instrText xml:space="preserve"> HYPERLINK \l "_Toc76054644" </w:instrText>
      </w:r>
      <w:r>
        <w:fldChar w:fldCharType="separate"/>
      </w:r>
      <w:r>
        <w:rPr>
          <w:rStyle w:val="23"/>
          <w:rFonts w:hint="eastAsia" w:ascii="宋体"/>
          <w:sz w:val="24"/>
        </w:rPr>
        <w:t>第五章</w:t>
      </w:r>
      <w:r>
        <w:rPr>
          <w:rStyle w:val="23"/>
          <w:rFonts w:ascii="宋体"/>
          <w:sz w:val="24"/>
        </w:rPr>
        <w:t xml:space="preserve"> </w:t>
      </w:r>
      <w:r>
        <w:rPr>
          <w:rStyle w:val="23"/>
          <w:rFonts w:hint="eastAsia" w:ascii="宋体"/>
          <w:sz w:val="24"/>
        </w:rPr>
        <w:t>合同</w:t>
      </w:r>
      <w:r>
        <w:rPr>
          <w:sz w:val="24"/>
          <w:szCs w:val="24"/>
        </w:rPr>
        <w:tab/>
      </w:r>
      <w:r>
        <w:rPr>
          <w:sz w:val="24"/>
          <w:szCs w:val="24"/>
        </w:rPr>
        <w:fldChar w:fldCharType="begin"/>
      </w:r>
      <w:r>
        <w:rPr>
          <w:sz w:val="24"/>
          <w:szCs w:val="24"/>
        </w:rPr>
        <w:instrText xml:space="preserve"> PAGEREF _Toc76054644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5"/>
        <w:rPr>
          <w:b w:val="0"/>
          <w:sz w:val="21"/>
          <w:szCs w:val="22"/>
        </w:rPr>
      </w:pPr>
      <w:r>
        <w:fldChar w:fldCharType="begin"/>
      </w:r>
      <w:r>
        <w:instrText xml:space="preserve"> HYPERLINK \l "_Toc76054645" </w:instrText>
      </w:r>
      <w:r>
        <w:fldChar w:fldCharType="separate"/>
      </w:r>
      <w:r>
        <w:rPr>
          <w:rStyle w:val="23"/>
          <w:rFonts w:hint="eastAsia"/>
          <w:sz w:val="24"/>
        </w:rPr>
        <w:t>第六章</w:t>
      </w:r>
      <w:r>
        <w:rPr>
          <w:rStyle w:val="23"/>
          <w:sz w:val="24"/>
        </w:rPr>
        <w:t xml:space="preserve"> </w:t>
      </w:r>
      <w:r>
        <w:rPr>
          <w:rStyle w:val="23"/>
          <w:rFonts w:hint="eastAsia"/>
          <w:sz w:val="24"/>
        </w:rPr>
        <w:t>服务技术要求和商务要求</w:t>
      </w:r>
      <w:r>
        <w:rPr>
          <w:sz w:val="24"/>
          <w:szCs w:val="24"/>
        </w:rPr>
        <w:tab/>
      </w:r>
      <w:r>
        <w:rPr>
          <w:sz w:val="24"/>
          <w:szCs w:val="24"/>
        </w:rPr>
        <w:fldChar w:fldCharType="begin"/>
      </w:r>
      <w:r>
        <w:rPr>
          <w:sz w:val="24"/>
          <w:szCs w:val="24"/>
        </w:rPr>
        <w:instrText xml:space="preserve"> PAGEREF _Toc76054645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16"/>
        <w:tabs>
          <w:tab w:val="right" w:leader="dot" w:pos="8296"/>
        </w:tabs>
        <w:rPr>
          <w:szCs w:val="22"/>
        </w:rPr>
      </w:pPr>
      <w:r>
        <w:fldChar w:fldCharType="begin"/>
      </w:r>
      <w:r>
        <w:instrText xml:space="preserve"> HYPERLINK \l "_Toc76054646" </w:instrText>
      </w:r>
      <w:r>
        <w:fldChar w:fldCharType="separate"/>
      </w:r>
      <w:r>
        <w:rPr>
          <w:rStyle w:val="23"/>
          <w:rFonts w:hint="eastAsia"/>
        </w:rPr>
        <w:t>一、项目背景</w:t>
      </w:r>
      <w:r>
        <w:tab/>
      </w:r>
      <w:r>
        <w:fldChar w:fldCharType="begin"/>
      </w:r>
      <w:r>
        <w:instrText xml:space="preserve"> PAGEREF _Toc76054646 \h </w:instrText>
      </w:r>
      <w:r>
        <w:fldChar w:fldCharType="separate"/>
      </w:r>
      <w:r>
        <w:t>24</w:t>
      </w:r>
      <w:r>
        <w:fldChar w:fldCharType="end"/>
      </w:r>
      <w:r>
        <w:fldChar w:fldCharType="end"/>
      </w:r>
    </w:p>
    <w:p>
      <w:pPr>
        <w:pStyle w:val="16"/>
        <w:tabs>
          <w:tab w:val="right" w:leader="dot" w:pos="8296"/>
        </w:tabs>
        <w:rPr>
          <w:szCs w:val="22"/>
        </w:rPr>
      </w:pPr>
      <w:r>
        <w:fldChar w:fldCharType="begin"/>
      </w:r>
      <w:r>
        <w:instrText xml:space="preserve"> HYPERLINK \l "_Toc76054648" </w:instrText>
      </w:r>
      <w:r>
        <w:fldChar w:fldCharType="separate"/>
      </w:r>
      <w:r>
        <w:rPr>
          <w:rStyle w:val="23"/>
          <w:rFonts w:hint="eastAsia"/>
        </w:rPr>
        <w:t>二、技术要求</w:t>
      </w:r>
      <w:r>
        <w:tab/>
      </w:r>
      <w:r>
        <w:fldChar w:fldCharType="begin"/>
      </w:r>
      <w:r>
        <w:instrText xml:space="preserve"> PAGEREF _Toc76054648 \h </w:instrText>
      </w:r>
      <w:r>
        <w:fldChar w:fldCharType="separate"/>
      </w:r>
      <w:r>
        <w:t>24</w:t>
      </w:r>
      <w:r>
        <w:fldChar w:fldCharType="end"/>
      </w:r>
      <w:r>
        <w:fldChar w:fldCharType="end"/>
      </w:r>
    </w:p>
    <w:p>
      <w:pPr>
        <w:pStyle w:val="16"/>
        <w:tabs>
          <w:tab w:val="right" w:leader="dot" w:pos="8296"/>
        </w:tabs>
        <w:rPr>
          <w:szCs w:val="22"/>
        </w:rPr>
      </w:pPr>
      <w:r>
        <w:fldChar w:fldCharType="begin"/>
      </w:r>
      <w:r>
        <w:instrText xml:space="preserve"> HYPERLINK \l "_Toc76054649" </w:instrText>
      </w:r>
      <w:r>
        <w:fldChar w:fldCharType="separate"/>
      </w:r>
      <w:r>
        <w:rPr>
          <w:rStyle w:val="23"/>
          <w:rFonts w:hint="eastAsia"/>
        </w:rPr>
        <w:t>三、商务要求</w:t>
      </w:r>
      <w:r>
        <w:tab/>
      </w:r>
      <w:r>
        <w:fldChar w:fldCharType="begin"/>
      </w:r>
      <w:r>
        <w:instrText xml:space="preserve"> PAGEREF _Toc76054649 \h </w:instrText>
      </w:r>
      <w:r>
        <w:fldChar w:fldCharType="separate"/>
      </w:r>
      <w:r>
        <w:t>24</w:t>
      </w:r>
      <w:r>
        <w:fldChar w:fldCharType="end"/>
      </w:r>
      <w:r>
        <w:fldChar w:fldCharType="end"/>
      </w:r>
    </w:p>
    <w:p>
      <w:pPr>
        <w:pStyle w:val="16"/>
        <w:tabs>
          <w:tab w:val="right" w:leader="dot" w:pos="8296"/>
        </w:tabs>
        <w:rPr>
          <w:szCs w:val="22"/>
        </w:rPr>
      </w:pPr>
      <w:r>
        <w:fldChar w:fldCharType="begin"/>
      </w:r>
      <w:r>
        <w:instrText xml:space="preserve"> HYPERLINK \l "_Toc76054650" </w:instrText>
      </w:r>
      <w:r>
        <w:fldChar w:fldCharType="separate"/>
      </w:r>
      <w:r>
        <w:rPr>
          <w:rStyle w:val="23"/>
          <w:rFonts w:hint="eastAsia"/>
        </w:rPr>
        <w:t>四、其他要求</w:t>
      </w:r>
      <w:r>
        <w:tab/>
      </w:r>
      <w:r>
        <w:fldChar w:fldCharType="begin"/>
      </w:r>
      <w:r>
        <w:instrText xml:space="preserve"> PAGEREF _Toc76054650 \h </w:instrText>
      </w:r>
      <w:r>
        <w:fldChar w:fldCharType="separate"/>
      </w:r>
      <w:r>
        <w:t>29</w:t>
      </w:r>
      <w:r>
        <w:fldChar w:fldCharType="end"/>
      </w:r>
      <w:r>
        <w:fldChar w:fldCharType="end"/>
      </w:r>
    </w:p>
    <w:p>
      <w:pPr>
        <w:pStyle w:val="15"/>
        <w:rPr>
          <w:b w:val="0"/>
          <w:sz w:val="24"/>
          <w:szCs w:val="24"/>
        </w:rPr>
      </w:pPr>
      <w:r>
        <w:fldChar w:fldCharType="begin"/>
      </w:r>
      <w:r>
        <w:instrText xml:space="preserve"> HYPERLINK \l "_Toc76054651" </w:instrText>
      </w:r>
      <w:r>
        <w:fldChar w:fldCharType="separate"/>
      </w:r>
      <w:r>
        <w:rPr>
          <w:rStyle w:val="23"/>
          <w:rFonts w:hint="eastAsia"/>
          <w:sz w:val="24"/>
        </w:rPr>
        <w:t>第七章</w:t>
      </w:r>
      <w:r>
        <w:rPr>
          <w:rStyle w:val="23"/>
          <w:sz w:val="24"/>
        </w:rPr>
        <w:t xml:space="preserve"> </w:t>
      </w:r>
      <w:r>
        <w:rPr>
          <w:rStyle w:val="23"/>
          <w:rFonts w:hint="eastAsia"/>
          <w:sz w:val="24"/>
        </w:rPr>
        <w:t>附件</w:t>
      </w:r>
      <w:r>
        <w:rPr>
          <w:sz w:val="24"/>
          <w:szCs w:val="24"/>
        </w:rPr>
        <w:tab/>
      </w:r>
      <w:r>
        <w:rPr>
          <w:sz w:val="24"/>
          <w:szCs w:val="24"/>
        </w:rPr>
        <w:fldChar w:fldCharType="begin"/>
      </w:r>
      <w:r>
        <w:rPr>
          <w:sz w:val="24"/>
          <w:szCs w:val="24"/>
        </w:rPr>
        <w:instrText xml:space="preserve"> PAGEREF _Toc76054651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16"/>
        <w:tabs>
          <w:tab w:val="right" w:leader="dot" w:pos="8296"/>
        </w:tabs>
        <w:rPr>
          <w:szCs w:val="22"/>
        </w:rPr>
      </w:pPr>
      <w:r>
        <w:fldChar w:fldCharType="begin"/>
      </w:r>
      <w:r>
        <w:instrText xml:space="preserve"> HYPERLINK \l "_Toc76054653" </w:instrText>
      </w:r>
      <w:r>
        <w:fldChar w:fldCharType="separate"/>
      </w:r>
      <w:r>
        <w:rPr>
          <w:rStyle w:val="23"/>
          <w:rFonts w:hint="eastAsia"/>
        </w:rPr>
        <w:t>一、投标人资格证明文件</w:t>
      </w:r>
      <w:r>
        <w:tab/>
      </w:r>
      <w:r>
        <w:fldChar w:fldCharType="begin"/>
      </w:r>
      <w:r>
        <w:instrText xml:space="preserve"> PAGEREF _Toc76054653 \h </w:instrText>
      </w:r>
      <w:r>
        <w:fldChar w:fldCharType="separate"/>
      </w:r>
      <w:r>
        <w:t>32</w:t>
      </w:r>
      <w:r>
        <w:fldChar w:fldCharType="end"/>
      </w:r>
      <w:r>
        <w:fldChar w:fldCharType="end"/>
      </w:r>
    </w:p>
    <w:p>
      <w:pPr>
        <w:pStyle w:val="16"/>
        <w:tabs>
          <w:tab w:val="right" w:leader="dot" w:pos="8296"/>
        </w:tabs>
        <w:rPr>
          <w:szCs w:val="22"/>
        </w:rPr>
      </w:pPr>
      <w:r>
        <w:fldChar w:fldCharType="begin"/>
      </w:r>
      <w:r>
        <w:instrText xml:space="preserve"> HYPERLINK \l "_Toc76054654" </w:instrText>
      </w:r>
      <w:r>
        <w:fldChar w:fldCharType="separate"/>
      </w:r>
      <w:r>
        <w:rPr>
          <w:rStyle w:val="23"/>
          <w:rFonts w:hint="eastAsia"/>
        </w:rPr>
        <w:t>二、投标响应书</w:t>
      </w:r>
      <w:r>
        <w:tab/>
      </w:r>
      <w:r>
        <w:fldChar w:fldCharType="begin"/>
      </w:r>
      <w:r>
        <w:instrText xml:space="preserve"> PAGEREF _Toc76054654 \h </w:instrText>
      </w:r>
      <w:r>
        <w:fldChar w:fldCharType="separate"/>
      </w:r>
      <w:r>
        <w:t>36</w:t>
      </w:r>
      <w:r>
        <w:fldChar w:fldCharType="end"/>
      </w:r>
      <w:r>
        <w:fldChar w:fldCharType="end"/>
      </w:r>
    </w:p>
    <w:p>
      <w:pPr>
        <w:pStyle w:val="16"/>
        <w:tabs>
          <w:tab w:val="right" w:leader="dot" w:pos="8296"/>
        </w:tabs>
        <w:rPr>
          <w:szCs w:val="22"/>
        </w:rPr>
      </w:pPr>
      <w:r>
        <w:fldChar w:fldCharType="begin"/>
      </w:r>
      <w:r>
        <w:instrText xml:space="preserve"> HYPERLINK \l "_Toc76054655" </w:instrText>
      </w:r>
      <w:r>
        <w:fldChar w:fldCharType="separate"/>
      </w:r>
      <w:r>
        <w:rPr>
          <w:rStyle w:val="23"/>
          <w:rFonts w:hint="eastAsia"/>
        </w:rPr>
        <w:t>三、项目分项清单及报价</w:t>
      </w:r>
      <w:r>
        <w:tab/>
      </w:r>
      <w:r>
        <w:fldChar w:fldCharType="begin"/>
      </w:r>
      <w:r>
        <w:instrText xml:space="preserve"> PAGEREF _Toc76054655 \h </w:instrText>
      </w:r>
      <w:r>
        <w:fldChar w:fldCharType="separate"/>
      </w:r>
      <w:r>
        <w:t>37</w:t>
      </w:r>
      <w:r>
        <w:fldChar w:fldCharType="end"/>
      </w:r>
      <w:r>
        <w:fldChar w:fldCharType="end"/>
      </w:r>
    </w:p>
    <w:p>
      <w:pPr>
        <w:pStyle w:val="16"/>
        <w:tabs>
          <w:tab w:val="right" w:leader="dot" w:pos="8296"/>
        </w:tabs>
        <w:rPr>
          <w:szCs w:val="22"/>
        </w:rPr>
      </w:pPr>
      <w:r>
        <w:fldChar w:fldCharType="begin"/>
      </w:r>
      <w:r>
        <w:instrText xml:space="preserve"> HYPERLINK \l "_Toc76054656" </w:instrText>
      </w:r>
      <w:r>
        <w:fldChar w:fldCharType="separate"/>
      </w:r>
      <w:r>
        <w:rPr>
          <w:rStyle w:val="23"/>
          <w:rFonts w:hint="eastAsia"/>
        </w:rPr>
        <w:t>四、后续服务计划</w:t>
      </w:r>
      <w:r>
        <w:tab/>
      </w:r>
      <w:r>
        <w:fldChar w:fldCharType="begin"/>
      </w:r>
      <w:r>
        <w:instrText xml:space="preserve"> PAGEREF _Toc76054656 \h </w:instrText>
      </w:r>
      <w:r>
        <w:fldChar w:fldCharType="separate"/>
      </w:r>
      <w:r>
        <w:t>38</w:t>
      </w:r>
      <w:r>
        <w:fldChar w:fldCharType="end"/>
      </w:r>
      <w:r>
        <w:fldChar w:fldCharType="end"/>
      </w:r>
    </w:p>
    <w:p>
      <w:pPr>
        <w:pStyle w:val="16"/>
        <w:tabs>
          <w:tab w:val="right" w:leader="dot" w:pos="8296"/>
        </w:tabs>
        <w:rPr>
          <w:szCs w:val="22"/>
        </w:rPr>
      </w:pPr>
      <w:r>
        <w:fldChar w:fldCharType="begin"/>
      </w:r>
      <w:r>
        <w:instrText xml:space="preserve"> HYPERLINK \l "_Toc76054657" </w:instrText>
      </w:r>
      <w:r>
        <w:fldChar w:fldCharType="separate"/>
      </w:r>
      <w:r>
        <w:rPr>
          <w:rStyle w:val="23"/>
          <w:rFonts w:hint="eastAsia"/>
        </w:rPr>
        <w:t>五、单位主营业务介绍</w:t>
      </w:r>
      <w:r>
        <w:tab/>
      </w:r>
      <w:r>
        <w:fldChar w:fldCharType="begin"/>
      </w:r>
      <w:r>
        <w:instrText xml:space="preserve"> PAGEREF _Toc76054657 \h </w:instrText>
      </w:r>
      <w:r>
        <w:fldChar w:fldCharType="separate"/>
      </w:r>
      <w:r>
        <w:t>39</w:t>
      </w:r>
      <w:r>
        <w:fldChar w:fldCharType="end"/>
      </w:r>
      <w:r>
        <w:fldChar w:fldCharType="end"/>
      </w:r>
    </w:p>
    <w:p>
      <w:pPr>
        <w:pStyle w:val="16"/>
        <w:tabs>
          <w:tab w:val="right" w:leader="dot" w:pos="8296"/>
        </w:tabs>
        <w:rPr>
          <w:szCs w:val="22"/>
        </w:rPr>
      </w:pPr>
      <w:r>
        <w:fldChar w:fldCharType="begin"/>
      </w:r>
      <w:r>
        <w:instrText xml:space="preserve"> HYPERLINK \l "_Toc76054658" </w:instrText>
      </w:r>
      <w:r>
        <w:fldChar w:fldCharType="separate"/>
      </w:r>
      <w:r>
        <w:rPr>
          <w:rStyle w:val="23"/>
          <w:rFonts w:hint="eastAsia"/>
        </w:rPr>
        <w:t>六、同类项目主要业绩一览表</w:t>
      </w:r>
      <w:r>
        <w:tab/>
      </w:r>
      <w:r>
        <w:fldChar w:fldCharType="begin"/>
      </w:r>
      <w:r>
        <w:instrText xml:space="preserve"> PAGEREF _Toc76054658 \h </w:instrText>
      </w:r>
      <w:r>
        <w:fldChar w:fldCharType="separate"/>
      </w:r>
      <w:r>
        <w:t>40</w:t>
      </w:r>
      <w:r>
        <w:fldChar w:fldCharType="end"/>
      </w:r>
      <w:r>
        <w:fldChar w:fldCharType="end"/>
      </w:r>
    </w:p>
    <w:p>
      <w:pPr>
        <w:pStyle w:val="16"/>
        <w:tabs>
          <w:tab w:val="right" w:leader="dot" w:pos="8296"/>
        </w:tabs>
        <w:rPr>
          <w:szCs w:val="22"/>
        </w:rPr>
      </w:pPr>
      <w:r>
        <w:fldChar w:fldCharType="begin"/>
      </w:r>
      <w:r>
        <w:instrText xml:space="preserve"> HYPERLINK \l "_Toc76054659" </w:instrText>
      </w:r>
      <w:r>
        <w:fldChar w:fldCharType="separate"/>
      </w:r>
      <w:r>
        <w:rPr>
          <w:rStyle w:val="23"/>
          <w:rFonts w:hint="eastAsia"/>
        </w:rPr>
        <w:t>七、项目负责人和团队人员情况表</w:t>
      </w:r>
      <w:r>
        <w:tab/>
      </w:r>
      <w:r>
        <w:fldChar w:fldCharType="begin"/>
      </w:r>
      <w:r>
        <w:instrText xml:space="preserve"> PAGEREF _Toc76054659 \h </w:instrText>
      </w:r>
      <w:r>
        <w:fldChar w:fldCharType="separate"/>
      </w:r>
      <w:r>
        <w:t>41</w:t>
      </w:r>
      <w:r>
        <w:fldChar w:fldCharType="end"/>
      </w:r>
      <w:r>
        <w:fldChar w:fldCharType="end"/>
      </w:r>
    </w:p>
    <w:p>
      <w:pPr>
        <w:pStyle w:val="16"/>
        <w:tabs>
          <w:tab w:val="right" w:leader="dot" w:pos="8296"/>
        </w:tabs>
        <w:rPr>
          <w:szCs w:val="22"/>
        </w:rPr>
      </w:pPr>
      <w:r>
        <w:fldChar w:fldCharType="begin"/>
      </w:r>
      <w:r>
        <w:instrText xml:space="preserve"> HYPERLINK \l "_Toc76054660" </w:instrText>
      </w:r>
      <w:r>
        <w:fldChar w:fldCharType="separate"/>
      </w:r>
      <w:r>
        <w:rPr>
          <w:rStyle w:val="23"/>
          <w:rFonts w:hint="eastAsia" w:ascii="宋体" w:hAnsi="宋体" w:cs="宋体"/>
        </w:rPr>
        <w:t>八、实施方案</w:t>
      </w:r>
      <w:r>
        <w:tab/>
      </w:r>
      <w:r>
        <w:fldChar w:fldCharType="begin"/>
      </w:r>
      <w:r>
        <w:instrText xml:space="preserve"> PAGEREF _Toc76054660 \h </w:instrText>
      </w:r>
      <w:r>
        <w:fldChar w:fldCharType="separate"/>
      </w:r>
      <w:r>
        <w:t>42</w:t>
      </w:r>
      <w:r>
        <w:fldChar w:fldCharType="end"/>
      </w:r>
      <w:r>
        <w:fldChar w:fldCharType="end"/>
      </w:r>
    </w:p>
    <w:p>
      <w:pPr>
        <w:pStyle w:val="16"/>
        <w:tabs>
          <w:tab w:val="right" w:leader="dot" w:pos="8296"/>
        </w:tabs>
        <w:rPr>
          <w:szCs w:val="22"/>
        </w:rPr>
      </w:pPr>
      <w:r>
        <w:fldChar w:fldCharType="begin"/>
      </w:r>
      <w:r>
        <w:instrText xml:space="preserve"> HYPERLINK \l "_Toc76054661" </w:instrText>
      </w:r>
      <w:r>
        <w:fldChar w:fldCharType="separate"/>
      </w:r>
      <w:r>
        <w:rPr>
          <w:rStyle w:val="23"/>
          <w:rFonts w:hint="eastAsia" w:ascii="宋体" w:hAnsi="宋体" w:cs="宋体"/>
        </w:rPr>
        <w:t>九、投标人诚信承诺函</w:t>
      </w:r>
      <w:r>
        <w:tab/>
      </w:r>
      <w:r>
        <w:fldChar w:fldCharType="begin"/>
      </w:r>
      <w:r>
        <w:instrText xml:space="preserve"> PAGEREF _Toc76054661 \h </w:instrText>
      </w:r>
      <w:r>
        <w:fldChar w:fldCharType="separate"/>
      </w:r>
      <w:r>
        <w:t>43</w:t>
      </w:r>
      <w:r>
        <w:fldChar w:fldCharType="end"/>
      </w:r>
      <w:r>
        <w:fldChar w:fldCharType="end"/>
      </w:r>
    </w:p>
    <w:p>
      <w:pPr>
        <w:pStyle w:val="16"/>
        <w:tabs>
          <w:tab w:val="right" w:leader="dot" w:pos="8296"/>
        </w:tabs>
        <w:rPr>
          <w:szCs w:val="22"/>
        </w:rPr>
      </w:pPr>
      <w:r>
        <w:fldChar w:fldCharType="begin"/>
      </w:r>
      <w:r>
        <w:instrText xml:space="preserve"> HYPERLINK \l "_Toc76054662" </w:instrText>
      </w:r>
      <w:r>
        <w:fldChar w:fldCharType="separate"/>
      </w:r>
      <w:r>
        <w:rPr>
          <w:rStyle w:val="23"/>
          <w:rFonts w:hint="eastAsia" w:ascii="宋体" w:cs="宋体"/>
        </w:rPr>
        <w:t>十、投标及履约承诺函</w:t>
      </w:r>
      <w:r>
        <w:tab/>
      </w:r>
      <w:r>
        <w:fldChar w:fldCharType="begin"/>
      </w:r>
      <w:r>
        <w:instrText xml:space="preserve"> PAGEREF _Toc76054662 \h </w:instrText>
      </w:r>
      <w:r>
        <w:fldChar w:fldCharType="separate"/>
      </w:r>
      <w:r>
        <w:t>44</w:t>
      </w:r>
      <w:r>
        <w:fldChar w:fldCharType="end"/>
      </w:r>
      <w:r>
        <w:fldChar w:fldCharType="end"/>
      </w:r>
    </w:p>
    <w:p>
      <w:pPr>
        <w:pStyle w:val="16"/>
        <w:tabs>
          <w:tab w:val="right" w:leader="dot" w:pos="8296"/>
        </w:tabs>
        <w:rPr>
          <w:szCs w:val="22"/>
        </w:rPr>
      </w:pPr>
      <w:r>
        <w:fldChar w:fldCharType="begin"/>
      </w:r>
      <w:r>
        <w:instrText xml:space="preserve"> HYPERLINK \l "_Toc76054663" </w:instrText>
      </w:r>
      <w:r>
        <w:fldChar w:fldCharType="separate"/>
      </w:r>
      <w:r>
        <w:rPr>
          <w:rStyle w:val="23"/>
          <w:rFonts w:hint="eastAsia" w:ascii="宋体" w:hAnsi="宋体" w:cs="宋体"/>
        </w:rPr>
        <w:t>十一、用户需求响应表</w:t>
      </w:r>
      <w:r>
        <w:tab/>
      </w:r>
      <w:r>
        <w:fldChar w:fldCharType="begin"/>
      </w:r>
      <w:r>
        <w:instrText xml:space="preserve"> PAGEREF _Toc76054663 \h </w:instrText>
      </w:r>
      <w:r>
        <w:fldChar w:fldCharType="separate"/>
      </w:r>
      <w:r>
        <w:t>45</w:t>
      </w:r>
      <w:r>
        <w:fldChar w:fldCharType="end"/>
      </w:r>
      <w:r>
        <w:fldChar w:fldCharType="end"/>
      </w:r>
    </w:p>
    <w:p>
      <w:pPr>
        <w:pStyle w:val="16"/>
        <w:tabs>
          <w:tab w:val="right" w:leader="dot" w:pos="8296"/>
        </w:tabs>
        <w:rPr>
          <w:szCs w:val="22"/>
        </w:rPr>
      </w:pPr>
      <w:r>
        <w:fldChar w:fldCharType="begin"/>
      </w:r>
      <w:r>
        <w:instrText xml:space="preserve"> HYPERLINK \l "_Toc76054664" </w:instrText>
      </w:r>
      <w:r>
        <w:fldChar w:fldCharType="separate"/>
      </w:r>
      <w:r>
        <w:rPr>
          <w:rStyle w:val="23"/>
          <w:rFonts w:hint="eastAsia" w:ascii="宋体" w:hAnsi="宋体" w:cs="宋体"/>
        </w:rPr>
        <w:t>十二、投标人认为需提供的其它文件及评分所需证明文件</w:t>
      </w:r>
      <w:r>
        <w:tab/>
      </w:r>
      <w:r>
        <w:fldChar w:fldCharType="begin"/>
      </w:r>
      <w:r>
        <w:instrText xml:space="preserve"> PAGEREF _Toc76054664 \h </w:instrText>
      </w:r>
      <w:r>
        <w:fldChar w:fldCharType="separate"/>
      </w:r>
      <w:r>
        <w:t>46</w:t>
      </w:r>
      <w:r>
        <w:fldChar w:fldCharType="end"/>
      </w:r>
      <w:r>
        <w:fldChar w:fldCharType="end"/>
      </w:r>
    </w:p>
    <w:p>
      <w:pPr>
        <w:pStyle w:val="15"/>
        <w:rPr>
          <w:b w:val="0"/>
          <w:sz w:val="24"/>
          <w:szCs w:val="24"/>
        </w:rPr>
      </w:pPr>
      <w:r>
        <w:fldChar w:fldCharType="begin"/>
      </w:r>
      <w:r>
        <w:instrText xml:space="preserve"> HYPERLINK \l "_Toc76054665" </w:instrText>
      </w:r>
      <w:r>
        <w:fldChar w:fldCharType="separate"/>
      </w:r>
      <w:r>
        <w:rPr>
          <w:rStyle w:val="23"/>
          <w:rFonts w:hint="eastAsia"/>
          <w:sz w:val="24"/>
        </w:rPr>
        <w:t>第八章</w:t>
      </w:r>
      <w:r>
        <w:rPr>
          <w:rStyle w:val="23"/>
          <w:sz w:val="24"/>
        </w:rPr>
        <w:t xml:space="preserve"> </w:t>
      </w:r>
      <w:r>
        <w:rPr>
          <w:rStyle w:val="23"/>
          <w:rFonts w:hint="eastAsia"/>
          <w:sz w:val="24"/>
        </w:rPr>
        <w:t>招标项目评分表</w:t>
      </w:r>
      <w:r>
        <w:rPr>
          <w:sz w:val="24"/>
          <w:szCs w:val="24"/>
        </w:rPr>
        <w:tab/>
      </w:r>
      <w:r>
        <w:rPr>
          <w:sz w:val="24"/>
          <w:szCs w:val="24"/>
        </w:rPr>
        <w:fldChar w:fldCharType="begin"/>
      </w:r>
      <w:r>
        <w:rPr>
          <w:sz w:val="24"/>
          <w:szCs w:val="24"/>
        </w:rPr>
        <w:instrText xml:space="preserve"> PAGEREF _Toc76054665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4"/>
        <w:keepNext w:val="0"/>
        <w:keepLines w:val="0"/>
        <w:spacing w:line="240" w:lineRule="auto"/>
        <w:jc w:val="both"/>
        <w:rPr>
          <w:rFonts w:ascii="宋体" w:eastAsia="宋体"/>
          <w:bCs/>
          <w:szCs w:val="24"/>
        </w:rPr>
      </w:pPr>
      <w:r>
        <w:rPr>
          <w:rFonts w:ascii="宋体" w:eastAsia="宋体"/>
          <w:bCs/>
          <w:szCs w:val="24"/>
        </w:rPr>
        <w:fldChar w:fldCharType="end"/>
      </w:r>
    </w:p>
    <w:p>
      <w:pPr>
        <w:pStyle w:val="6"/>
        <w:keepNext w:val="0"/>
        <w:keepLines w:val="0"/>
        <w:spacing w:line="377" w:lineRule="auto"/>
      </w:pPr>
    </w:p>
    <w:p/>
    <w:p>
      <w:pPr>
        <w:pStyle w:val="12"/>
      </w:pPr>
    </w:p>
    <w:p>
      <w:pPr>
        <w:pStyle w:val="12"/>
      </w:pPr>
    </w:p>
    <w:p>
      <w:pPr>
        <w:pStyle w:val="12"/>
      </w:pPr>
    </w:p>
    <w:p>
      <w:pPr>
        <w:pStyle w:val="12"/>
      </w:pPr>
    </w:p>
    <w:p>
      <w:pPr>
        <w:pStyle w:val="12"/>
      </w:pPr>
    </w:p>
    <w:p>
      <w:pPr>
        <w:pStyle w:val="12"/>
      </w:pPr>
    </w:p>
    <w:p>
      <w:pPr>
        <w:pStyle w:val="12"/>
      </w:pPr>
    </w:p>
    <w:p>
      <w:pPr>
        <w:pStyle w:val="12"/>
      </w:pPr>
    </w:p>
    <w:p>
      <w:pPr>
        <w:ind w:firstLine="640" w:firstLineChars="200"/>
        <w:jc w:val="center"/>
        <w:rPr>
          <w:sz w:val="32"/>
          <w:szCs w:val="32"/>
        </w:rPr>
      </w:pPr>
      <w:r>
        <w:rPr>
          <w:rFonts w:hint="eastAsia"/>
          <w:sz w:val="32"/>
          <w:szCs w:val="32"/>
        </w:rPr>
        <w:t>特别警示条款</w:t>
      </w:r>
    </w:p>
    <w:p>
      <w:pPr>
        <w:ind w:firstLine="420" w:firstLineChars="200"/>
        <w:rPr>
          <w:rFonts w:ascii="宋体" w:hAnsi="宋体"/>
          <w:szCs w:val="21"/>
        </w:rPr>
      </w:pP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rPr>
          <w:rFonts w:ascii="宋体" w:hAnsi="宋体"/>
          <w:szCs w:val="21"/>
        </w:rPr>
      </w:pPr>
      <w:r>
        <w:rPr>
          <w:rFonts w:hint="eastAsia" w:ascii="宋体" w:hAnsi="宋体"/>
          <w:szCs w:val="21"/>
        </w:rPr>
        <w:t xml:space="preserve">   （一）在采购活动中应当回避而未回避的；</w:t>
      </w:r>
    </w:p>
    <w:p>
      <w:pPr>
        <w:rPr>
          <w:rFonts w:ascii="宋体" w:hAnsi="宋体"/>
          <w:szCs w:val="21"/>
        </w:rPr>
      </w:pPr>
      <w:r>
        <w:rPr>
          <w:rFonts w:hint="eastAsia" w:ascii="宋体" w:hAnsi="宋体"/>
          <w:szCs w:val="21"/>
        </w:rPr>
        <w:t xml:space="preserve">   （二）未按本条例规定签订、履行采购合同，造成严重后果的；</w:t>
      </w:r>
    </w:p>
    <w:p>
      <w:pPr>
        <w:rPr>
          <w:rFonts w:ascii="宋体" w:hAnsi="宋体"/>
          <w:szCs w:val="21"/>
        </w:rPr>
      </w:pPr>
      <w:r>
        <w:rPr>
          <w:rFonts w:hint="eastAsia" w:ascii="宋体" w:hAnsi="宋体"/>
          <w:szCs w:val="21"/>
        </w:rPr>
        <w:t xml:space="preserve">   （三）隐瞒真实情况，提供虚假资料的；</w:t>
      </w:r>
    </w:p>
    <w:p>
      <w:pPr>
        <w:rPr>
          <w:rFonts w:ascii="宋体" w:hAnsi="宋体"/>
          <w:szCs w:val="21"/>
        </w:rPr>
      </w:pPr>
      <w:r>
        <w:rPr>
          <w:rFonts w:hint="eastAsia" w:ascii="宋体" w:hAnsi="宋体"/>
          <w:szCs w:val="21"/>
        </w:rPr>
        <w:t xml:space="preserve">   （四）以非法手段排斥其他供应商参与竞争的；</w:t>
      </w:r>
    </w:p>
    <w:p>
      <w:pPr>
        <w:rPr>
          <w:rFonts w:ascii="宋体" w:hAnsi="宋体"/>
          <w:szCs w:val="21"/>
        </w:rPr>
      </w:pPr>
      <w:r>
        <w:rPr>
          <w:rFonts w:hint="eastAsia" w:ascii="宋体" w:hAnsi="宋体"/>
          <w:szCs w:val="21"/>
        </w:rPr>
        <w:t xml:space="preserve">   （五）与其他采购参加人串通投标的；</w:t>
      </w:r>
    </w:p>
    <w:p>
      <w:pPr>
        <w:rPr>
          <w:rFonts w:ascii="宋体" w:hAnsi="宋体"/>
          <w:szCs w:val="21"/>
        </w:rPr>
      </w:pPr>
      <w:r>
        <w:rPr>
          <w:rFonts w:hint="eastAsia" w:ascii="宋体" w:hAnsi="宋体"/>
          <w:szCs w:val="21"/>
        </w:rPr>
        <w:t xml:space="preserve">   （六）恶意投诉的；</w:t>
      </w:r>
    </w:p>
    <w:p>
      <w:pPr>
        <w:rPr>
          <w:rFonts w:ascii="宋体" w:hAnsi="宋体"/>
          <w:szCs w:val="21"/>
        </w:rPr>
      </w:pPr>
      <w:r>
        <w:rPr>
          <w:rFonts w:hint="eastAsia" w:ascii="宋体" w:hAnsi="宋体"/>
          <w:szCs w:val="21"/>
        </w:rPr>
        <w:t xml:space="preserve">   （七）向采购项目相关人行贿或者提供其他不当利益的；</w:t>
      </w:r>
    </w:p>
    <w:p>
      <w:pPr>
        <w:rPr>
          <w:rFonts w:ascii="宋体" w:hAnsi="宋体"/>
          <w:szCs w:val="21"/>
        </w:rPr>
      </w:pPr>
      <w:r>
        <w:rPr>
          <w:rFonts w:hint="eastAsia" w:ascii="宋体" w:hAnsi="宋体"/>
          <w:szCs w:val="21"/>
        </w:rPr>
        <w:t xml:space="preserve">   （八）阻碍、抗拒主管部门监督检查的；</w:t>
      </w:r>
    </w:p>
    <w:p>
      <w:pPr>
        <w:rPr>
          <w:rFonts w:ascii="宋体" w:hAnsi="宋体"/>
          <w:szCs w:val="21"/>
        </w:rPr>
      </w:pPr>
      <w:r>
        <w:rPr>
          <w:rFonts w:hint="eastAsia" w:ascii="宋体" w:hAnsi="宋体"/>
          <w:szCs w:val="21"/>
        </w:rPr>
        <w:t xml:space="preserve">   （九）其他违反本条例规定的行为。</w:t>
      </w:r>
    </w:p>
    <w:p>
      <w:pPr>
        <w:ind w:firstLine="420" w:firstLineChars="200"/>
        <w:rPr>
          <w:rFonts w:ascii="宋体" w:hAnsi="宋体"/>
          <w:szCs w:val="21"/>
        </w:rPr>
      </w:pPr>
      <w:r>
        <w:rPr>
          <w:rFonts w:hint="eastAsia" w:ascii="宋体" w:hAnsi="宋体"/>
          <w:szCs w:val="21"/>
        </w:rPr>
        <w:t>《深圳经济特区政府采购条例实施细则》第七十六条  供应商有下列行为之一的，由主管部门记入供应商诚信档案并作出以下处罚：</w:t>
      </w:r>
    </w:p>
    <w:p>
      <w:pPr>
        <w:ind w:firstLine="420" w:firstLineChars="200"/>
        <w:rPr>
          <w:rFonts w:ascii="宋体" w:hAnsi="宋体"/>
          <w:szCs w:val="21"/>
        </w:rPr>
      </w:pPr>
      <w:r>
        <w:rPr>
          <w:rFonts w:hint="eastAsia" w:ascii="宋体" w:hAnsi="宋体"/>
          <w:szCs w:val="21"/>
        </w:rPr>
        <w:t>（一）违法行为属于采购条例第五十七条第（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元以上五百万元以下的，处以采购金额千分之二十的罚款，三年内禁止其参与本市政府采购。</w:t>
      </w:r>
    </w:p>
    <w:p>
      <w:pPr>
        <w:ind w:firstLine="420" w:firstLineChars="200"/>
        <w:rPr>
          <w:rFonts w:ascii="宋体" w:hAnsi="宋体"/>
          <w:szCs w:val="21"/>
        </w:rPr>
      </w:pPr>
      <w:r>
        <w:rPr>
          <w:rFonts w:hint="eastAsia" w:ascii="宋体" w:hAnsi="宋体"/>
          <w:szCs w:val="21"/>
        </w:rPr>
        <w:t>（二）违法行为属于采购条例第五十七条第（五）、（七）项情形，涉及的采购金额累计在一百万元以下，处以采购金额千分之十五的罚款，两年内禁止其参与本市政府采购；涉及的采购金额累计在一百万元以上两百万元以下的，处以采购金额千分之二十的罚款，三年内禁止其参与本市政府采购。</w:t>
      </w:r>
    </w:p>
    <w:p>
      <w:pPr>
        <w:ind w:firstLine="420" w:firstLineChars="200"/>
        <w:rPr>
          <w:rFonts w:ascii="宋体" w:hAnsi="宋体"/>
          <w:szCs w:val="21"/>
        </w:rPr>
      </w:pPr>
      <w:r>
        <w:rPr>
          <w:rFonts w:hint="eastAsia" w:ascii="宋体" w:hAnsi="宋体"/>
          <w:szCs w:val="21"/>
        </w:rPr>
        <w:t>《深圳经济特区政府采购条例实施细则》第七十七条  供应商有下列行为之一的，属于情节严重，由市场监管部门依法吊销其营业执照，主管部门取消其参与本市政府采购的资格，并作出以下处罚：</w:t>
      </w:r>
    </w:p>
    <w:p>
      <w:pPr>
        <w:ind w:firstLine="420" w:firstLineChars="200"/>
        <w:rPr>
          <w:rFonts w:ascii="宋体" w:hAnsi="宋体"/>
          <w:szCs w:val="21"/>
        </w:rPr>
      </w:pPr>
      <w:r>
        <w:rPr>
          <w:rFonts w:hint="eastAsia" w:ascii="宋体" w:hAnsi="宋体"/>
          <w:szCs w:val="21"/>
        </w:rPr>
        <w:t>（一）违法行为属于采购条例第五十七条第（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pPr>
        <w:ind w:firstLine="420" w:firstLineChars="200"/>
        <w:rPr>
          <w:rFonts w:ascii="宋体" w:hAnsi="宋体"/>
          <w:szCs w:val="21"/>
        </w:rPr>
      </w:pPr>
      <w:r>
        <w:rPr>
          <w:rFonts w:hint="eastAsia" w:ascii="宋体" w:hAnsi="宋体"/>
          <w:szCs w:val="21"/>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pPr>
        <w:ind w:firstLine="420" w:firstLineChars="200"/>
        <w:rPr>
          <w:rFonts w:ascii="宋体" w:hAnsi="宋体"/>
          <w:szCs w:val="21"/>
        </w:rPr>
      </w:pPr>
      <w:r>
        <w:rPr>
          <w:rFonts w:hint="eastAsia" w:ascii="宋体" w:hAnsi="宋体"/>
          <w:szCs w:val="21"/>
        </w:rPr>
        <w:t>《深圳经济特区政府采购条例实施细则》第七十九条  供应商有下列情形之一的，属于采购条例所称的串通投标行为，按照采购条例第五十七条有关规定处理：</w:t>
      </w:r>
    </w:p>
    <w:p>
      <w:pPr>
        <w:ind w:firstLine="420" w:firstLineChars="200"/>
        <w:rPr>
          <w:rFonts w:ascii="宋体" w:hAnsi="宋体"/>
          <w:szCs w:val="21"/>
        </w:rPr>
      </w:pPr>
      <w:r>
        <w:rPr>
          <w:rFonts w:hint="eastAsia" w:ascii="宋体" w:hAnsi="宋体"/>
          <w:szCs w:val="21"/>
        </w:rPr>
        <w:t>（一）投标供应商之间相互约定给予未中标的供应商利益补偿。</w:t>
      </w:r>
    </w:p>
    <w:p>
      <w:pPr>
        <w:ind w:firstLine="420" w:firstLineChars="200"/>
        <w:rPr>
          <w:rFonts w:ascii="宋体" w:hAnsi="宋体"/>
          <w:szCs w:val="21"/>
        </w:rPr>
      </w:pPr>
      <w:r>
        <w:rPr>
          <w:rFonts w:hint="eastAsia" w:ascii="宋体" w:hAnsi="宋体"/>
          <w:szCs w:val="21"/>
        </w:rPr>
        <w:t>（二）不同投标供应商的法定代表人、主要经营负责人、项目投标授权代表人、项目负责人、主要技术人员为同一人、属同一单位或者在同一单位缴纳社会保险。</w:t>
      </w:r>
    </w:p>
    <w:p>
      <w:pPr>
        <w:ind w:firstLine="420" w:firstLineChars="200"/>
        <w:rPr>
          <w:rFonts w:ascii="宋体" w:hAnsi="宋体"/>
          <w:szCs w:val="21"/>
        </w:rPr>
      </w:pPr>
      <w:r>
        <w:rPr>
          <w:rFonts w:hint="eastAsia" w:ascii="宋体" w:hAnsi="宋体"/>
          <w:szCs w:val="21"/>
        </w:rPr>
        <w:t>（三）不同投标供应商的投标文件由同一单位或者同一人编制，或者由同一人分阶段参与编制的。</w:t>
      </w:r>
    </w:p>
    <w:p>
      <w:pPr>
        <w:ind w:firstLine="420" w:firstLineChars="200"/>
        <w:rPr>
          <w:rFonts w:ascii="宋体" w:hAnsi="宋体"/>
          <w:szCs w:val="21"/>
        </w:rPr>
      </w:pPr>
      <w:r>
        <w:rPr>
          <w:rFonts w:hint="eastAsia" w:ascii="宋体" w:hAnsi="宋体"/>
          <w:szCs w:val="21"/>
        </w:rPr>
        <w:t>（四）不同投标供应商的投标文件或部分投标文件相互混装。</w:t>
      </w:r>
    </w:p>
    <w:p>
      <w:pPr>
        <w:ind w:firstLine="420" w:firstLineChars="200"/>
        <w:rPr>
          <w:rFonts w:ascii="宋体" w:hAnsi="宋体"/>
          <w:szCs w:val="21"/>
        </w:rPr>
      </w:pPr>
      <w:r>
        <w:rPr>
          <w:rFonts w:hint="eastAsia" w:ascii="宋体" w:hAnsi="宋体"/>
          <w:szCs w:val="21"/>
        </w:rPr>
        <w:t>（五）不同投标供应商的投标文件内容存在非正常一致。</w:t>
      </w:r>
    </w:p>
    <w:p>
      <w:pPr>
        <w:ind w:firstLine="420" w:firstLineChars="200"/>
        <w:rPr>
          <w:rFonts w:ascii="宋体" w:hAnsi="宋体"/>
          <w:szCs w:val="21"/>
        </w:rPr>
      </w:pPr>
      <w:r>
        <w:rPr>
          <w:rFonts w:hint="eastAsia" w:ascii="宋体" w:hAnsi="宋体"/>
          <w:szCs w:val="21"/>
        </w:rPr>
        <w:t>（六）由同一单位工作人员为两家以上（含两家）供应商进行同一项投标活动的。</w:t>
      </w:r>
    </w:p>
    <w:p>
      <w:pPr>
        <w:ind w:firstLine="420" w:firstLineChars="200"/>
        <w:rPr>
          <w:rFonts w:ascii="宋体" w:hAnsi="宋体"/>
          <w:szCs w:val="21"/>
        </w:rPr>
      </w:pPr>
      <w:r>
        <w:rPr>
          <w:rFonts w:hint="eastAsia" w:ascii="宋体" w:hAnsi="宋体"/>
          <w:szCs w:val="21"/>
        </w:rPr>
        <w:t>（七）主管部门依照法律、法规认定的其他情形。</w:t>
      </w:r>
    </w:p>
    <w:p>
      <w:pPr>
        <w:ind w:firstLine="420" w:firstLineChars="200"/>
        <w:rPr>
          <w:rFonts w:ascii="宋体" w:hAnsi="宋体"/>
          <w:szCs w:val="21"/>
        </w:rPr>
      </w:pPr>
      <w:r>
        <w:rPr>
          <w:rFonts w:hint="eastAsia" w:ascii="宋体" w:hAnsi="宋体"/>
          <w:szCs w:val="21"/>
        </w:rPr>
        <w:t>《深圳经济特区政府采购条例实施细则》第八十一条  供应商有下列情形之一的，属于隐瞒真实情况，提供虚假资料，按照采购条例第五十七条的有关规定处理：</w:t>
      </w:r>
    </w:p>
    <w:p>
      <w:pPr>
        <w:ind w:firstLine="420" w:firstLineChars="200"/>
        <w:rPr>
          <w:rFonts w:ascii="宋体" w:hAnsi="宋体"/>
          <w:szCs w:val="21"/>
        </w:rPr>
      </w:pPr>
      <w:r>
        <w:rPr>
          <w:rFonts w:hint="eastAsia" w:ascii="宋体" w:hAnsi="宋体"/>
          <w:szCs w:val="21"/>
        </w:rPr>
        <w:t>（一）通过转让或者租借等方式从其他单位获取资格或者资质证书投标的。</w:t>
      </w:r>
    </w:p>
    <w:p>
      <w:pPr>
        <w:ind w:firstLine="420" w:firstLineChars="200"/>
        <w:rPr>
          <w:rFonts w:ascii="宋体" w:hAnsi="宋体"/>
          <w:szCs w:val="21"/>
        </w:rPr>
      </w:pPr>
      <w:r>
        <w:rPr>
          <w:rFonts w:hint="eastAsia" w:ascii="宋体" w:hAnsi="宋体"/>
          <w:szCs w:val="21"/>
        </w:rPr>
        <w:t>（二）由其他单位或者其他单位负责人在投标供应商编制的投标文件上加盖印章或者签字的。</w:t>
      </w:r>
    </w:p>
    <w:p>
      <w:pPr>
        <w:ind w:firstLine="420" w:firstLineChars="200"/>
        <w:rPr>
          <w:rFonts w:ascii="宋体" w:hAnsi="宋体"/>
          <w:szCs w:val="21"/>
        </w:rPr>
      </w:pPr>
      <w:r>
        <w:rPr>
          <w:rFonts w:hint="eastAsia" w:ascii="宋体" w:hAnsi="宋体"/>
          <w:szCs w:val="21"/>
        </w:rPr>
        <w:t>（三）项目负责人或者主要技术人员不是本单位人员的。</w:t>
      </w:r>
    </w:p>
    <w:p>
      <w:pPr>
        <w:ind w:firstLine="420" w:firstLineChars="200"/>
        <w:rPr>
          <w:rFonts w:ascii="宋体" w:hAnsi="宋体"/>
          <w:szCs w:val="21"/>
        </w:rPr>
      </w:pPr>
      <w:r>
        <w:rPr>
          <w:rFonts w:hint="eastAsia" w:ascii="宋体" w:hAnsi="宋体"/>
          <w:szCs w:val="21"/>
        </w:rPr>
        <w:t>（四）投标保证金不是从投标供应商基本账户转出的。</w:t>
      </w:r>
    </w:p>
    <w:p>
      <w:pPr>
        <w:ind w:firstLine="420" w:firstLineChars="200"/>
        <w:rPr>
          <w:rFonts w:ascii="宋体" w:hAnsi="宋体"/>
          <w:szCs w:val="21"/>
        </w:rPr>
      </w:pPr>
      <w:r>
        <w:rPr>
          <w:rFonts w:hint="eastAsia" w:ascii="宋体" w:hAnsi="宋体"/>
          <w:szCs w:val="21"/>
        </w:rPr>
        <w:t>（五）其他隐瞒真实情况、提供虚假资料的行为。</w:t>
      </w:r>
    </w:p>
    <w:p>
      <w:pPr>
        <w:ind w:firstLine="420" w:firstLineChars="200"/>
        <w:rPr>
          <w:rFonts w:ascii="宋体" w:hAnsi="宋体"/>
          <w:szCs w:val="21"/>
        </w:rPr>
      </w:pPr>
      <w:r>
        <w:rPr>
          <w:rFonts w:hint="eastAsia" w:ascii="宋体" w:hAnsi="宋体"/>
          <w:szCs w:val="21"/>
        </w:rPr>
        <w:t>投标供应商不能提供项目负责人或者主要技术人员的劳动合同、社会保险等劳动关系证明材料的，视为存在前款第（三）项规定的情形。</w:t>
      </w:r>
    </w:p>
    <w:p>
      <w:pPr>
        <w:spacing w:line="360" w:lineRule="auto"/>
        <w:jc w:val="center"/>
        <w:outlineLvl w:val="0"/>
        <w:rPr>
          <w:b/>
          <w:bCs/>
          <w:sz w:val="32"/>
        </w:rPr>
      </w:pPr>
      <w:r>
        <w:br w:type="page"/>
      </w:r>
      <w:bookmarkStart w:id="0" w:name="_Toc76054640"/>
      <w:r>
        <w:rPr>
          <w:rFonts w:hint="eastAsia"/>
          <w:b/>
          <w:bCs/>
          <w:sz w:val="32"/>
        </w:rPr>
        <w:t>第一章 招标公告</w:t>
      </w:r>
      <w:bookmarkEnd w:id="0"/>
    </w:p>
    <w:p>
      <w:pPr>
        <w:ind w:firstLine="420" w:firstLineChars="200"/>
        <w:rPr>
          <w:szCs w:val="21"/>
        </w:rPr>
      </w:pPr>
      <w:r>
        <w:rPr>
          <w:rFonts w:hint="eastAsia"/>
          <w:szCs w:val="21"/>
        </w:rPr>
        <w:t>深圳市前海深港现代服务业合作区管理局就</w:t>
      </w:r>
      <w:r>
        <w:rPr>
          <w:rFonts w:hint="eastAsia"/>
          <w:szCs w:val="21"/>
          <w:u w:val="single"/>
        </w:rPr>
        <w:t>深港合作战略下的前海城市综合运营模式研究项目</w:t>
      </w:r>
      <w:r>
        <w:rPr>
          <w:rFonts w:hint="eastAsia"/>
          <w:szCs w:val="21"/>
        </w:rPr>
        <w:t>采用简易公开招标方式采购，欢迎符合投标人资格要求的专业供应商积极参加投标。</w:t>
      </w:r>
    </w:p>
    <w:tbl>
      <w:tblPr>
        <w:tblStyle w:val="20"/>
        <w:tblW w:w="8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668" w:type="dxa"/>
            <w:vAlign w:val="center"/>
          </w:tcPr>
          <w:p>
            <w:pPr>
              <w:spacing w:after="60" w:line="300" w:lineRule="exact"/>
              <w:rPr>
                <w:szCs w:val="21"/>
              </w:rPr>
            </w:pPr>
            <w:r>
              <w:rPr>
                <w:rFonts w:hint="eastAsia"/>
                <w:szCs w:val="21"/>
              </w:rPr>
              <w:t>招标文件编号</w:t>
            </w:r>
          </w:p>
        </w:tc>
        <w:tc>
          <w:tcPr>
            <w:tcW w:w="7165" w:type="dxa"/>
          </w:tcPr>
          <w:p>
            <w:pPr>
              <w:spacing w:line="300" w:lineRule="exact"/>
              <w:rPr>
                <w:szCs w:val="21"/>
              </w:rPr>
            </w:pPr>
            <w:r>
              <w:rPr>
                <w:szCs w:val="21"/>
                <w:highlight w:val="yellow"/>
              </w:rPr>
              <w:t>QH20210</w:t>
            </w:r>
            <w:r>
              <w:rPr>
                <w:rFonts w:hint="eastAsia"/>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668" w:type="dxa"/>
            <w:vAlign w:val="center"/>
          </w:tcPr>
          <w:p>
            <w:pPr>
              <w:spacing w:after="60" w:line="300" w:lineRule="exact"/>
              <w:rPr>
                <w:szCs w:val="21"/>
              </w:rPr>
            </w:pPr>
            <w:r>
              <w:rPr>
                <w:rFonts w:hint="eastAsia"/>
                <w:szCs w:val="21"/>
              </w:rPr>
              <w:t>招标项目名称</w:t>
            </w:r>
          </w:p>
        </w:tc>
        <w:tc>
          <w:tcPr>
            <w:tcW w:w="7165" w:type="dxa"/>
          </w:tcPr>
          <w:p>
            <w:pPr>
              <w:spacing w:line="300" w:lineRule="exact"/>
              <w:rPr>
                <w:szCs w:val="21"/>
              </w:rPr>
            </w:pPr>
            <w:r>
              <w:rPr>
                <w:rFonts w:hint="eastAsia"/>
                <w:szCs w:val="21"/>
                <w:u w:val="single"/>
              </w:rPr>
              <w:t>深港合作战略下的前海城市综合运营模式研究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668" w:type="dxa"/>
            <w:vAlign w:val="center"/>
          </w:tcPr>
          <w:p>
            <w:pPr>
              <w:spacing w:after="60" w:line="300" w:lineRule="exact"/>
              <w:rPr>
                <w:szCs w:val="21"/>
              </w:rPr>
            </w:pPr>
            <w:r>
              <w:rPr>
                <w:rFonts w:hint="eastAsia"/>
                <w:szCs w:val="21"/>
              </w:rPr>
              <w:t>标的内容</w:t>
            </w:r>
          </w:p>
        </w:tc>
        <w:tc>
          <w:tcPr>
            <w:tcW w:w="7165" w:type="dxa"/>
          </w:tcPr>
          <w:p>
            <w:pPr>
              <w:spacing w:line="300" w:lineRule="exact"/>
              <w:rPr>
                <w:szCs w:val="21"/>
              </w:rPr>
            </w:pPr>
            <w:r>
              <w:rPr>
                <w:rFonts w:hint="eastAsia"/>
                <w:szCs w:val="21"/>
                <w:u w:val="single"/>
              </w:rPr>
              <w:t>深港合作战略下的前海城市综合运营模式研究</w:t>
            </w:r>
            <w:r>
              <w:rPr>
                <w:rFonts w:hint="eastAsia"/>
                <w:szCs w:val="21"/>
              </w:rPr>
              <w:t>（详见第五</w:t>
            </w:r>
            <w:r>
              <w:rPr>
                <w:szCs w:val="21"/>
              </w:rPr>
              <w:t>章</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668" w:type="dxa"/>
            <w:vAlign w:val="center"/>
          </w:tcPr>
          <w:p>
            <w:pPr>
              <w:spacing w:after="60" w:line="300" w:lineRule="exact"/>
              <w:rPr>
                <w:szCs w:val="21"/>
              </w:rPr>
            </w:pPr>
            <w:r>
              <w:rPr>
                <w:rFonts w:hint="eastAsia"/>
                <w:szCs w:val="21"/>
              </w:rPr>
              <w:t>预算金额</w:t>
            </w:r>
          </w:p>
        </w:tc>
        <w:tc>
          <w:tcPr>
            <w:tcW w:w="7165" w:type="dxa"/>
          </w:tcPr>
          <w:p>
            <w:pPr>
              <w:spacing w:line="360" w:lineRule="auto"/>
              <w:rPr>
                <w:szCs w:val="21"/>
              </w:rPr>
            </w:pPr>
            <w:r>
              <w:rPr>
                <w:rFonts w:hint="eastAsia"/>
                <w:szCs w:val="21"/>
              </w:rPr>
              <w:t>本项目招标控制价为</w:t>
            </w:r>
            <w:r>
              <w:rPr>
                <w:rFonts w:hint="eastAsia"/>
                <w:szCs w:val="21"/>
                <w:u w:val="single"/>
              </w:rPr>
              <w:t>80</w:t>
            </w:r>
            <w:r>
              <w:rPr>
                <w:szCs w:val="21"/>
              </w:rPr>
              <w:t>万</w:t>
            </w:r>
            <w:r>
              <w:rPr>
                <w:rFonts w:hint="eastAsia"/>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668" w:type="dxa"/>
            <w:vAlign w:val="center"/>
          </w:tcPr>
          <w:p>
            <w:pPr>
              <w:spacing w:after="60" w:line="300" w:lineRule="exact"/>
              <w:rPr>
                <w:szCs w:val="21"/>
              </w:rPr>
            </w:pPr>
            <w:r>
              <w:rPr>
                <w:rFonts w:hint="eastAsia"/>
                <w:szCs w:val="21"/>
              </w:rPr>
              <w:t>评标方法</w:t>
            </w:r>
          </w:p>
        </w:tc>
        <w:tc>
          <w:tcPr>
            <w:tcW w:w="7165" w:type="dxa"/>
          </w:tcPr>
          <w:p>
            <w:pPr>
              <w:spacing w:line="300" w:lineRule="exact"/>
              <w:rPr>
                <w:szCs w:val="21"/>
              </w:rPr>
            </w:pPr>
            <w:r>
              <w:rPr>
                <w:rFonts w:hint="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668" w:type="dxa"/>
            <w:vAlign w:val="center"/>
          </w:tcPr>
          <w:p>
            <w:pPr>
              <w:spacing w:after="60" w:line="300" w:lineRule="exact"/>
              <w:rPr>
                <w:rFonts w:ascii="宋体" w:hAnsi="宋体"/>
                <w:kern w:val="0"/>
                <w:szCs w:val="21"/>
              </w:rPr>
            </w:pPr>
            <w:r>
              <w:rPr>
                <w:rFonts w:hint="eastAsia" w:ascii="宋体" w:hAnsi="宋体"/>
                <w:kern w:val="0"/>
                <w:szCs w:val="21"/>
              </w:rPr>
              <w:t>标书获得办法</w:t>
            </w:r>
          </w:p>
        </w:tc>
        <w:tc>
          <w:tcPr>
            <w:tcW w:w="7165" w:type="dxa"/>
          </w:tcPr>
          <w:p>
            <w:pPr>
              <w:spacing w:line="300" w:lineRule="exact"/>
              <w:rPr>
                <w:rFonts w:ascii="宋体" w:hAnsi="宋体"/>
                <w:kern w:val="0"/>
                <w:szCs w:val="21"/>
              </w:rPr>
            </w:pPr>
            <w:r>
              <w:rPr>
                <w:rFonts w:hint="eastAsia" w:ascii="宋体" w:hAnsi="宋体"/>
                <w:kern w:val="0"/>
                <w:szCs w:val="21"/>
              </w:rPr>
              <w:t>招标文件为电子版，投标人</w:t>
            </w:r>
            <w:r>
              <w:rPr>
                <w:rFonts w:ascii="宋体" w:hAnsi="宋体"/>
                <w:kern w:val="0"/>
                <w:szCs w:val="21"/>
              </w:rPr>
              <w:t>可在前海</w:t>
            </w:r>
            <w:r>
              <w:rPr>
                <w:rFonts w:hint="eastAsia" w:ascii="宋体" w:hAnsi="宋体"/>
                <w:kern w:val="0"/>
                <w:szCs w:val="21"/>
              </w:rPr>
              <w:t>管理局</w:t>
            </w:r>
            <w:r>
              <w:rPr>
                <w:rFonts w:ascii="宋体" w:hAnsi="宋体"/>
                <w:kern w:val="0"/>
                <w:szCs w:val="21"/>
              </w:rPr>
              <w:t>官网（</w:t>
            </w:r>
            <w:r>
              <w:rPr>
                <w:rFonts w:hint="eastAsia" w:ascii="宋体" w:hAnsi="宋体"/>
                <w:kern w:val="0"/>
                <w:szCs w:val="21"/>
              </w:rPr>
              <w:t>信息</w:t>
            </w:r>
            <w:r>
              <w:rPr>
                <w:rFonts w:ascii="宋体" w:hAnsi="宋体"/>
                <w:kern w:val="0"/>
                <w:szCs w:val="21"/>
              </w:rPr>
              <w:t>公开-招标公告栏目）</w:t>
            </w:r>
            <w:r>
              <w:rPr>
                <w:rFonts w:hint="eastAsia" w:ascii="宋体" w:hAnsi="宋体"/>
                <w:kern w:val="0"/>
                <w:szCs w:val="21"/>
              </w:rPr>
              <w:t>(</w:t>
            </w:r>
            <w:r>
              <w:rPr>
                <w:rFonts w:ascii="宋体" w:hAnsi="宋体"/>
                <w:szCs w:val="21"/>
              </w:rPr>
              <w:t>http://qh.sz.gov.cn/</w:t>
            </w:r>
            <w:r>
              <w:rPr>
                <w:rFonts w:hint="eastAsia" w:ascii="宋体" w:hAnsi="宋体"/>
                <w:kern w:val="0"/>
                <w:szCs w:val="21"/>
              </w:rPr>
              <w:t>)免费下载</w:t>
            </w:r>
            <w:r>
              <w:rPr>
                <w:rFonts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trPr>
        <w:tc>
          <w:tcPr>
            <w:tcW w:w="1668" w:type="dxa"/>
            <w:vAlign w:val="center"/>
          </w:tcPr>
          <w:p>
            <w:pPr>
              <w:spacing w:after="60" w:line="300" w:lineRule="exact"/>
              <w:rPr>
                <w:rFonts w:ascii="宋体" w:hAnsi="宋体"/>
                <w:kern w:val="0"/>
                <w:szCs w:val="21"/>
              </w:rPr>
            </w:pPr>
            <w:r>
              <w:rPr>
                <w:rFonts w:hint="eastAsia" w:ascii="宋体" w:hAnsi="宋体"/>
                <w:kern w:val="0"/>
                <w:szCs w:val="21"/>
              </w:rPr>
              <w:t>投标方式</w:t>
            </w:r>
          </w:p>
        </w:tc>
        <w:tc>
          <w:tcPr>
            <w:tcW w:w="7165" w:type="dxa"/>
            <w:vAlign w:val="center"/>
          </w:tcPr>
          <w:p>
            <w:pPr>
              <w:adjustRightInd w:val="0"/>
              <w:snapToGrid w:val="0"/>
              <w:spacing w:line="280" w:lineRule="exact"/>
            </w:pPr>
            <w:r>
              <w:rPr>
                <w:rFonts w:hint="eastAsia"/>
              </w:rPr>
              <w:t>将投标文件（一式五份）密封并在2021年</w:t>
            </w:r>
            <w:r>
              <w:rPr>
                <w:rFonts w:hint="eastAsia"/>
                <w:highlight w:val="yellow"/>
              </w:rPr>
              <w:t>月26日</w:t>
            </w:r>
            <w:r>
              <w:rPr>
                <w:rFonts w:hint="eastAsia"/>
              </w:rPr>
              <w:t>14时30分前送达（现场递交）至深圳市南山区前海深港现代服务业合作区深港创新中心</w:t>
            </w:r>
            <w:r>
              <w:t>A</w:t>
            </w:r>
            <w:r>
              <w:rPr>
                <w:rFonts w:hint="eastAsia"/>
              </w:rPr>
              <w:t>-</w:t>
            </w:r>
            <w:r>
              <w:t>30</w:t>
            </w:r>
            <w:r>
              <w:rPr>
                <w:rFonts w:hint="eastAsia"/>
              </w:rPr>
              <w:t>7室</w:t>
            </w:r>
          </w:p>
          <w:p>
            <w:pPr>
              <w:adjustRightInd w:val="0"/>
              <w:snapToGrid w:val="0"/>
              <w:spacing w:line="300" w:lineRule="exact"/>
            </w:pPr>
            <w:r>
              <w:rPr>
                <w:rFonts w:hint="eastAsia"/>
              </w:rPr>
              <w:t>联系人：</w:t>
            </w:r>
            <w:r>
              <w:t>郝工</w:t>
            </w:r>
            <w:r>
              <w:rPr>
                <w:rFonts w:hint="eastAsia"/>
              </w:rPr>
              <w:t>，</w:t>
            </w:r>
            <w:r>
              <w:t>0755-366679</w:t>
            </w:r>
            <w:r>
              <w:rPr>
                <w:rFonts w:hint="eastAsia"/>
              </w:rPr>
              <w:t>6</w:t>
            </w:r>
            <w:r>
              <w:t xml:space="preserve">5 </w:t>
            </w:r>
          </w:p>
          <w:p>
            <w:pPr>
              <w:pStyle w:val="12"/>
            </w:pPr>
            <w:r>
              <w:rPr>
                <w:rFonts w:hint="eastAsia"/>
                <w:sz w:val="21"/>
                <w:szCs w:val="24"/>
              </w:rPr>
              <w:t>如需谈判，请投标人在半小时内响应至评标现场。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668" w:type="dxa"/>
            <w:vAlign w:val="center"/>
          </w:tcPr>
          <w:p>
            <w:pPr>
              <w:spacing w:after="60" w:line="300" w:lineRule="exact"/>
              <w:rPr>
                <w:rFonts w:ascii="宋体" w:hAnsi="宋体"/>
                <w:kern w:val="0"/>
                <w:szCs w:val="21"/>
              </w:rPr>
            </w:pPr>
            <w:r>
              <w:rPr>
                <w:rFonts w:hint="eastAsia" w:ascii="宋体" w:hAnsi="宋体"/>
                <w:kern w:val="0"/>
                <w:szCs w:val="21"/>
              </w:rPr>
              <w:t>投标人资格要求</w:t>
            </w:r>
          </w:p>
        </w:tc>
        <w:tc>
          <w:tcPr>
            <w:tcW w:w="7165" w:type="dxa"/>
          </w:tcPr>
          <w:p>
            <w:pPr>
              <w:pStyle w:val="53"/>
              <w:rPr>
                <w:rStyle w:val="44"/>
                <w:color w:val="auto"/>
              </w:rPr>
            </w:pPr>
            <w:r>
              <w:rPr>
                <w:rStyle w:val="44"/>
                <w:rFonts w:hint="eastAsia"/>
                <w:color w:val="auto"/>
              </w:rPr>
              <w:t>1、</w:t>
            </w:r>
            <w:r>
              <w:rPr>
                <w:rFonts w:hint="eastAsia" w:ascii="宋体" w:hAnsi="宋体" w:eastAsia="宋体" w:cs="宋体"/>
                <w:color w:val="auto"/>
                <w:lang w:eastAsia="zh-TW"/>
              </w:rPr>
              <w:t>投标人须是在中华人民共和国境内注册的具有独立法人资格或具有独立承担民事责任的能力的其它组织（提供营业执照或事业单位法人证等法人证明</w:t>
            </w:r>
            <w:r>
              <w:rPr>
                <w:rFonts w:hint="eastAsia" w:ascii="宋体" w:hAnsi="宋体" w:eastAsia="宋体" w:cs="宋体"/>
                <w:color w:val="auto"/>
              </w:rPr>
              <w:t>复议件</w:t>
            </w:r>
            <w:r>
              <w:rPr>
                <w:rFonts w:hint="eastAsia" w:ascii="宋体" w:hAnsi="宋体" w:eastAsia="宋体" w:cs="宋体"/>
                <w:color w:val="auto"/>
                <w:lang w:eastAsia="zh-TW"/>
              </w:rPr>
              <w:t>加盖投标人公章）</w:t>
            </w:r>
            <w:r>
              <w:rPr>
                <w:rStyle w:val="44"/>
                <w:rFonts w:hint="eastAsia"/>
                <w:color w:val="auto"/>
              </w:rPr>
              <w:t>；</w:t>
            </w:r>
          </w:p>
          <w:p>
            <w:pPr>
              <w:pStyle w:val="53"/>
              <w:rPr>
                <w:rStyle w:val="44"/>
                <w:color w:val="auto"/>
              </w:rPr>
            </w:pPr>
            <w:r>
              <w:rPr>
                <w:rStyle w:val="44"/>
                <w:rFonts w:hint="eastAsia"/>
                <w:color w:val="auto"/>
              </w:rPr>
              <w:t>2、本项目接受联合体投标</w:t>
            </w:r>
            <w:r>
              <w:rPr>
                <w:rStyle w:val="44"/>
                <w:rFonts w:hint="eastAsia"/>
                <w:color w:val="auto"/>
                <w:lang w:eastAsia="zh-CN"/>
              </w:rPr>
              <w:t>，</w:t>
            </w:r>
            <w:r>
              <w:rPr>
                <w:rFonts w:hint="eastAsia" w:ascii="宋体" w:hAnsi="宋体"/>
                <w:kern w:val="0"/>
                <w:lang w:val="zh-CN"/>
              </w:rPr>
              <w:t>联合体包含单位不超过2家（投标人需提供联合体协议，并在协议中注明联合体各方占合同金额的比例，格式自拟）</w:t>
            </w:r>
            <w:r>
              <w:rPr>
                <w:rStyle w:val="44"/>
                <w:rFonts w:hint="eastAsia"/>
                <w:color w:val="auto"/>
              </w:rPr>
              <w:t>；</w:t>
            </w:r>
          </w:p>
          <w:p>
            <w:pPr>
              <w:pStyle w:val="53"/>
              <w:rPr>
                <w:rStyle w:val="44"/>
                <w:color w:val="auto"/>
              </w:rPr>
            </w:pPr>
            <w:r>
              <w:rPr>
                <w:rStyle w:val="44"/>
                <w:rFonts w:hint="eastAsia"/>
                <w:color w:val="auto"/>
              </w:rPr>
              <w:t>3、</w:t>
            </w:r>
            <w:r>
              <w:rPr>
                <w:rFonts w:hint="eastAsia" w:ascii="宋体" w:hAnsi="宋体" w:eastAsia="宋体"/>
                <w:szCs w:val="28"/>
              </w:rPr>
              <w:t>投标人近三年内（即从2018年11月开始起算，供应商成立不足三年的可从成立之日起算）无行贿犯罪记录，由采购人查询。查询渠道为中国裁判文书网(http://wenshu.court.gov.cn/)；</w:t>
            </w:r>
          </w:p>
          <w:p>
            <w:pPr>
              <w:pStyle w:val="53"/>
              <w:ind w:firstLine="315" w:firstLineChars="150"/>
              <w:rPr>
                <w:rFonts w:ascii="宋体" w:hAnsi="宋体"/>
              </w:rPr>
            </w:pPr>
            <w:r>
              <w:rPr>
                <w:rStyle w:val="44"/>
                <w:rFonts w:hint="eastAsia"/>
                <w:color w:val="auto"/>
              </w:rPr>
              <w:t>【注：采购代理机构将通过“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668" w:type="dxa"/>
            <w:vAlign w:val="center"/>
          </w:tcPr>
          <w:p>
            <w:pPr>
              <w:spacing w:after="60" w:line="300" w:lineRule="exact"/>
              <w:rPr>
                <w:rFonts w:ascii="宋体" w:hAnsi="宋体"/>
                <w:kern w:val="0"/>
                <w:szCs w:val="21"/>
              </w:rPr>
            </w:pPr>
            <w:r>
              <w:rPr>
                <w:rFonts w:hint="eastAsia" w:ascii="宋体" w:hAnsi="宋体"/>
                <w:kern w:val="0"/>
                <w:szCs w:val="21"/>
              </w:rPr>
              <w:t>报价要求</w:t>
            </w:r>
          </w:p>
        </w:tc>
        <w:tc>
          <w:tcPr>
            <w:tcW w:w="7165" w:type="dxa"/>
          </w:tcPr>
          <w:p>
            <w:pPr>
              <w:pStyle w:val="53"/>
              <w:rPr>
                <w:rStyle w:val="44"/>
                <w:b/>
                <w:color w:val="auto"/>
              </w:rPr>
            </w:pPr>
            <w:r>
              <w:rPr>
                <w:rStyle w:val="44"/>
                <w:rFonts w:hint="eastAsia"/>
                <w:b/>
                <w:color w:val="auto"/>
              </w:rPr>
              <w:t>本项目招标总价控制为80</w:t>
            </w:r>
            <w:r>
              <w:rPr>
                <w:rStyle w:val="44"/>
                <w:b/>
                <w:color w:val="auto"/>
              </w:rPr>
              <w:t>万</w:t>
            </w:r>
            <w:r>
              <w:rPr>
                <w:rStyle w:val="44"/>
                <w:rFonts w:hint="eastAsia"/>
                <w:b/>
                <w:color w:val="auto"/>
              </w:rPr>
              <w:t>元，财政性资金100%。</w:t>
            </w:r>
          </w:p>
          <w:p>
            <w:pPr>
              <w:pStyle w:val="53"/>
              <w:ind w:firstLine="315" w:firstLineChars="150"/>
              <w:rPr>
                <w:rFonts w:cs="Arial"/>
              </w:rPr>
            </w:pPr>
            <w:r>
              <w:rPr>
                <w:rStyle w:val="44"/>
                <w:rFonts w:hint="eastAsia"/>
                <w:color w:val="auto"/>
              </w:rPr>
              <w:t>本次投标为总价包干，投标报价包括了投标人完成本招标项目而发生的全部费用，包括调研费、中标服务费、各种资料费、保险、税金、会议评审、广告宣传、公开展示、公众咨询等所有费用，并提供合同要求的政策成果文件，以及其它相关服务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668" w:type="dxa"/>
            <w:vAlign w:val="center"/>
          </w:tcPr>
          <w:p>
            <w:pPr>
              <w:spacing w:after="60" w:line="300" w:lineRule="exact"/>
              <w:rPr>
                <w:rFonts w:ascii="宋体" w:hAnsi="宋体"/>
                <w:kern w:val="0"/>
                <w:szCs w:val="21"/>
              </w:rPr>
            </w:pPr>
            <w:r>
              <w:rPr>
                <w:rFonts w:hint="eastAsia" w:ascii="宋体" w:hAnsi="宋体"/>
                <w:kern w:val="0"/>
                <w:szCs w:val="21"/>
              </w:rPr>
              <w:t>联系方式</w:t>
            </w:r>
          </w:p>
        </w:tc>
        <w:tc>
          <w:tcPr>
            <w:tcW w:w="7165" w:type="dxa"/>
          </w:tcPr>
          <w:p>
            <w:pPr>
              <w:spacing w:after="60"/>
              <w:rPr>
                <w:rFonts w:ascii="宋体" w:hAnsi="宋体"/>
                <w:kern w:val="0"/>
                <w:szCs w:val="21"/>
              </w:rPr>
            </w:pPr>
            <w:r>
              <w:rPr>
                <w:rFonts w:hint="eastAsia" w:ascii="宋体" w:hAnsi="宋体"/>
                <w:kern w:val="0"/>
                <w:szCs w:val="21"/>
              </w:rPr>
              <w:t>采购人信息：</w:t>
            </w:r>
          </w:p>
          <w:p>
            <w:pPr>
              <w:spacing w:after="60"/>
              <w:rPr>
                <w:rFonts w:ascii="宋体" w:hAnsi="宋体"/>
                <w:kern w:val="0"/>
                <w:szCs w:val="21"/>
              </w:rPr>
            </w:pPr>
            <w:r>
              <w:rPr>
                <w:rFonts w:hint="eastAsia" w:ascii="宋体" w:hAnsi="宋体"/>
                <w:kern w:val="0"/>
                <w:szCs w:val="21"/>
              </w:rPr>
              <w:t>名      称： 深圳市前海深港现代服务业合作区管理局</w:t>
            </w:r>
          </w:p>
          <w:p>
            <w:pPr>
              <w:spacing w:after="60"/>
              <w:rPr>
                <w:rFonts w:ascii="宋体" w:hAnsi="宋体"/>
                <w:kern w:val="0"/>
                <w:szCs w:val="21"/>
              </w:rPr>
            </w:pPr>
            <w:r>
              <w:rPr>
                <w:rFonts w:hint="eastAsia" w:ascii="宋体" w:hAnsi="宋体"/>
                <w:kern w:val="0"/>
                <w:szCs w:val="21"/>
              </w:rPr>
              <w:t>联  系  人：</w:t>
            </w:r>
            <w:r>
              <w:rPr>
                <w:rFonts w:ascii="宋体" w:hAnsi="宋体"/>
                <w:kern w:val="0"/>
                <w:szCs w:val="21"/>
              </w:rPr>
              <w:t xml:space="preserve"> 郝工</w:t>
            </w:r>
          </w:p>
          <w:p>
            <w:pPr>
              <w:spacing w:after="60"/>
              <w:rPr>
                <w:rFonts w:ascii="宋体" w:hAnsi="宋体"/>
                <w:kern w:val="0"/>
                <w:szCs w:val="21"/>
              </w:rPr>
            </w:pPr>
            <w:r>
              <w:rPr>
                <w:rFonts w:hint="eastAsia" w:ascii="宋体" w:hAnsi="宋体"/>
                <w:kern w:val="0"/>
                <w:szCs w:val="21"/>
              </w:rPr>
              <w:t>电      话：</w:t>
            </w:r>
            <w:r>
              <w:rPr>
                <w:rFonts w:hint="eastAsia" w:ascii="仿宋" w:hAnsi="仿宋" w:eastAsia="仿宋"/>
                <w:kern w:val="0"/>
                <w:szCs w:val="21"/>
              </w:rPr>
              <w:t>0</w:t>
            </w:r>
            <w:r>
              <w:rPr>
                <w:rFonts w:ascii="仿宋" w:hAnsi="仿宋" w:eastAsia="仿宋"/>
                <w:kern w:val="0"/>
                <w:szCs w:val="21"/>
              </w:rPr>
              <w:t>755</w:t>
            </w:r>
            <w:r>
              <w:rPr>
                <w:rFonts w:hint="eastAsia" w:ascii="仿宋" w:hAnsi="仿宋" w:eastAsia="仿宋"/>
                <w:kern w:val="0"/>
                <w:szCs w:val="21"/>
              </w:rPr>
              <w:t>-</w:t>
            </w:r>
            <w:r>
              <w:rPr>
                <w:rFonts w:ascii="仿宋" w:hAnsi="仿宋" w:eastAsia="仿宋"/>
                <w:kern w:val="0"/>
                <w:szCs w:val="21"/>
              </w:rPr>
              <w:t>366679</w:t>
            </w:r>
            <w:r>
              <w:rPr>
                <w:rFonts w:hint="eastAsia" w:ascii="仿宋" w:hAnsi="仿宋" w:eastAsia="仿宋"/>
                <w:kern w:val="0"/>
                <w:szCs w:val="21"/>
              </w:rPr>
              <w:t>6</w:t>
            </w:r>
            <w:r>
              <w:rPr>
                <w:rFonts w:ascii="仿宋" w:hAnsi="仿宋" w:eastAsia="仿宋"/>
                <w:kern w:val="0"/>
                <w:szCs w:val="21"/>
              </w:rPr>
              <w:t>5</w:t>
            </w:r>
          </w:p>
          <w:p>
            <w:pPr>
              <w:spacing w:after="60"/>
              <w:rPr>
                <w:rFonts w:ascii="宋体" w:hAnsi="宋体"/>
                <w:kern w:val="0"/>
                <w:szCs w:val="21"/>
              </w:rPr>
            </w:pPr>
            <w:r>
              <w:rPr>
                <w:rFonts w:hint="eastAsia" w:ascii="宋体" w:hAnsi="宋体"/>
                <w:kern w:val="0"/>
                <w:szCs w:val="21"/>
              </w:rPr>
              <w:t>采购代理机构信息：</w:t>
            </w:r>
          </w:p>
          <w:p>
            <w:pPr>
              <w:spacing w:after="60"/>
              <w:rPr>
                <w:rFonts w:ascii="宋体" w:hAnsi="宋体"/>
                <w:kern w:val="0"/>
                <w:szCs w:val="21"/>
              </w:rPr>
            </w:pPr>
            <w:r>
              <w:rPr>
                <w:rFonts w:hint="eastAsia" w:ascii="宋体" w:hAnsi="宋体"/>
                <w:kern w:val="0"/>
                <w:szCs w:val="21"/>
              </w:rPr>
              <w:t xml:space="preserve">名      称： </w:t>
            </w:r>
            <w:r>
              <w:rPr>
                <w:rFonts w:hint="eastAsia" w:ascii="宋体" w:hAnsi="宋体"/>
                <w:kern w:val="0"/>
                <w:szCs w:val="21"/>
                <w:u w:val="single"/>
              </w:rPr>
              <w:t>友和保险经纪有限公司</w:t>
            </w:r>
          </w:p>
          <w:p>
            <w:pPr>
              <w:spacing w:after="60"/>
              <w:rPr>
                <w:rFonts w:ascii="宋体" w:hAnsi="宋体"/>
                <w:kern w:val="0"/>
                <w:szCs w:val="21"/>
              </w:rPr>
            </w:pPr>
            <w:r>
              <w:rPr>
                <w:rFonts w:hint="eastAsia" w:ascii="宋体" w:hAnsi="宋体"/>
                <w:kern w:val="0"/>
                <w:szCs w:val="21"/>
              </w:rPr>
              <w:t xml:space="preserve">地      址： </w:t>
            </w:r>
            <w:r>
              <w:rPr>
                <w:rFonts w:hint="eastAsia" w:ascii="宋体" w:hAnsi="宋体"/>
                <w:snapToGrid w:val="0"/>
                <w:szCs w:val="21"/>
                <w:lang w:val="zh-CN"/>
              </w:rPr>
              <w:t>深圳市福田区福田体育公园西北角友和招标代理服务中心（靠近北门）</w:t>
            </w:r>
          </w:p>
          <w:p>
            <w:pPr>
              <w:spacing w:after="60"/>
              <w:rPr>
                <w:rFonts w:ascii="宋体" w:hAnsi="宋体"/>
                <w:kern w:val="0"/>
                <w:szCs w:val="21"/>
              </w:rPr>
            </w:pPr>
            <w:r>
              <w:rPr>
                <w:rFonts w:hint="eastAsia" w:ascii="宋体" w:hAnsi="宋体"/>
                <w:kern w:val="0"/>
                <w:szCs w:val="21"/>
              </w:rPr>
              <w:t>联  系  人：</w:t>
            </w:r>
            <w:r>
              <w:rPr>
                <w:rFonts w:hint="eastAsia" w:ascii="宋体" w:hAnsi="宋体"/>
                <w:kern w:val="0"/>
                <w:szCs w:val="21"/>
                <w:u w:val="single"/>
              </w:rPr>
              <w:t>严工</w:t>
            </w:r>
          </w:p>
          <w:p>
            <w:pPr>
              <w:spacing w:line="360" w:lineRule="auto"/>
              <w:rPr>
                <w:rFonts w:ascii="宋体" w:hAnsi="宋体"/>
                <w:szCs w:val="21"/>
              </w:rPr>
            </w:pPr>
            <w:r>
              <w:rPr>
                <w:rFonts w:hint="eastAsia" w:ascii="宋体" w:hAnsi="宋体"/>
                <w:kern w:val="0"/>
                <w:szCs w:val="21"/>
              </w:rPr>
              <w:t>电      话：</w:t>
            </w:r>
            <w:r>
              <w:rPr>
                <w:rFonts w:hint="eastAsia" w:ascii="宋体" w:hAnsi="宋体"/>
                <w:kern w:val="0"/>
                <w:szCs w:val="21"/>
                <w:u w:val="single"/>
              </w:rPr>
              <w:t xml:space="preserve"> 0755-83881283 </w:t>
            </w:r>
          </w:p>
        </w:tc>
      </w:tr>
    </w:tbl>
    <w:p>
      <w:pPr>
        <w:adjustRightInd w:val="0"/>
        <w:snapToGrid w:val="0"/>
        <w:spacing w:line="360" w:lineRule="auto"/>
        <w:ind w:firstLine="420" w:firstLineChars="200"/>
        <w:jc w:val="right"/>
        <w:rPr>
          <w:szCs w:val="21"/>
        </w:rPr>
      </w:pPr>
    </w:p>
    <w:p>
      <w:pPr>
        <w:adjustRightInd w:val="0"/>
        <w:snapToGrid w:val="0"/>
        <w:spacing w:line="360" w:lineRule="auto"/>
        <w:ind w:firstLine="420" w:firstLineChars="200"/>
        <w:jc w:val="right"/>
        <w:rPr>
          <w:szCs w:val="21"/>
        </w:rPr>
      </w:pPr>
    </w:p>
    <w:p>
      <w:pPr>
        <w:adjustRightInd w:val="0"/>
        <w:snapToGrid w:val="0"/>
        <w:spacing w:line="360" w:lineRule="auto"/>
        <w:ind w:firstLine="420" w:firstLineChars="200"/>
        <w:jc w:val="right"/>
        <w:rPr>
          <w:szCs w:val="21"/>
        </w:rPr>
      </w:pPr>
    </w:p>
    <w:p>
      <w:pPr>
        <w:adjustRightInd w:val="0"/>
        <w:snapToGrid w:val="0"/>
        <w:spacing w:line="360" w:lineRule="auto"/>
        <w:ind w:firstLine="420" w:firstLineChars="200"/>
        <w:jc w:val="right"/>
        <w:rPr>
          <w:szCs w:val="21"/>
        </w:rPr>
      </w:pPr>
    </w:p>
    <w:p>
      <w:pPr>
        <w:adjustRightInd w:val="0"/>
        <w:snapToGrid w:val="0"/>
        <w:spacing w:line="360" w:lineRule="auto"/>
        <w:ind w:firstLine="420" w:firstLineChars="200"/>
        <w:jc w:val="right"/>
        <w:rPr>
          <w:rFonts w:ascii="宋体" w:hAnsi="宋体"/>
          <w:szCs w:val="21"/>
        </w:rPr>
      </w:pPr>
      <w:r>
        <w:rPr>
          <w:rFonts w:hint="eastAsia"/>
          <w:szCs w:val="21"/>
        </w:rPr>
        <w:t>深圳市前海深港现代服务业合作区管理局</w:t>
      </w:r>
    </w:p>
    <w:p>
      <w:pPr>
        <w:adjustRightInd w:val="0"/>
        <w:snapToGrid w:val="0"/>
        <w:spacing w:line="360" w:lineRule="auto"/>
        <w:ind w:firstLine="420" w:firstLineChars="200"/>
        <w:jc w:val="right"/>
        <w:rPr>
          <w:rFonts w:ascii="宋体" w:hAnsi="宋体"/>
          <w:szCs w:val="21"/>
        </w:rPr>
      </w:pPr>
      <w:r>
        <w:rPr>
          <w:rFonts w:hint="eastAsia" w:ascii="宋体" w:hAnsi="宋体"/>
          <w:szCs w:val="21"/>
        </w:rPr>
        <w:t>2021年11</w:t>
      </w:r>
      <w:r>
        <w:rPr>
          <w:rFonts w:hint="eastAsia" w:ascii="宋体" w:hAnsi="宋体"/>
          <w:szCs w:val="21"/>
          <w:highlight w:val="yellow"/>
        </w:rPr>
        <w:t>月19日</w:t>
      </w: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adjustRightInd w:val="0"/>
        <w:snapToGrid w:val="0"/>
        <w:spacing w:line="360" w:lineRule="auto"/>
        <w:ind w:firstLine="480" w:firstLineChars="200"/>
        <w:jc w:val="right"/>
        <w:rPr>
          <w:rFonts w:ascii="宋体" w:hAnsi="宋体"/>
          <w:sz w:val="24"/>
        </w:rPr>
      </w:pPr>
    </w:p>
    <w:p>
      <w:pPr>
        <w:spacing w:line="360" w:lineRule="auto"/>
        <w:jc w:val="center"/>
        <w:rPr>
          <w:b/>
          <w:bCs/>
          <w:sz w:val="32"/>
        </w:rPr>
      </w:pPr>
      <w:r>
        <w:rPr>
          <w:rFonts w:hint="eastAsia"/>
          <w:b/>
          <w:bCs/>
          <w:sz w:val="32"/>
        </w:rPr>
        <w:t>投标文件初审表</w:t>
      </w:r>
    </w:p>
    <w:p>
      <w:pPr>
        <w:jc w:val="center"/>
        <w:rPr>
          <w:b/>
        </w:rPr>
      </w:pPr>
      <w:r>
        <w:rPr>
          <w:rFonts w:hint="eastAsia"/>
          <w:b/>
        </w:rPr>
        <w:t>（凡有下列情形之一的，投标文件无效，作投标无效处理）</w:t>
      </w:r>
    </w:p>
    <w:tbl>
      <w:tblPr>
        <w:tblStyle w:val="2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7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jc w:val="center"/>
            </w:pPr>
            <w:r>
              <w:rPr>
                <w:rFonts w:hint="eastAsia"/>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jc w:val="center"/>
            </w:pPr>
            <w:r>
              <w:t>1</w:t>
            </w:r>
          </w:p>
        </w:tc>
        <w:tc>
          <w:tcPr>
            <w:tcW w:w="7486" w:type="dxa"/>
          </w:tcPr>
          <w:p>
            <w:r>
              <w:rPr>
                <w:rFonts w:hint="eastAsia"/>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pPr>
            <w:r>
              <w:rPr>
                <w:rFonts w:hint="eastAsia"/>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jc w:val="center"/>
            </w:pPr>
            <w:r>
              <w:t>2</w:t>
            </w:r>
          </w:p>
        </w:tc>
        <w:tc>
          <w:tcPr>
            <w:tcW w:w="7486" w:type="dxa"/>
            <w:vAlign w:val="center"/>
          </w:tcPr>
          <w:p>
            <w:r>
              <w:rPr>
                <w:rFonts w:hint="eastAsia"/>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jc w:val="center"/>
            </w:pPr>
            <w:r>
              <w:t>3</w:t>
            </w:r>
          </w:p>
        </w:tc>
        <w:tc>
          <w:tcPr>
            <w:tcW w:w="7486" w:type="dxa"/>
            <w:vAlign w:val="center"/>
          </w:tcPr>
          <w:p>
            <w:r>
              <w:rPr>
                <w:rFonts w:hint="eastAsia"/>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jc w:val="center"/>
            </w:pPr>
            <w:r>
              <w:t>4</w:t>
            </w:r>
          </w:p>
        </w:tc>
        <w:tc>
          <w:tcPr>
            <w:tcW w:w="7486" w:type="dxa"/>
            <w:vAlign w:val="center"/>
          </w:tcPr>
          <w:p>
            <w:r>
              <w:rPr>
                <w:rFonts w:hint="eastAsia"/>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jc w:val="center"/>
            </w:pPr>
            <w:r>
              <w:t>5</w:t>
            </w:r>
          </w:p>
        </w:tc>
        <w:tc>
          <w:tcPr>
            <w:tcW w:w="7486" w:type="dxa"/>
            <w:vAlign w:val="center"/>
          </w:tcPr>
          <w:p>
            <w:r>
              <w:rPr>
                <w:szCs w:val="21"/>
              </w:rPr>
              <w:t>分项报价或投标总价高于预算金额（最高投标限价）的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jc w:val="center"/>
            </w:pPr>
            <w:r>
              <w:rPr>
                <w:rFonts w:hint="eastAsia"/>
              </w:rPr>
              <w:t>6</w:t>
            </w:r>
          </w:p>
        </w:tc>
        <w:tc>
          <w:tcPr>
            <w:tcW w:w="7486" w:type="dxa"/>
            <w:vAlign w:val="center"/>
          </w:tcPr>
          <w:p>
            <w:r>
              <w:rPr>
                <w:rFonts w:hint="eastAsia"/>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jc w:val="center"/>
            </w:pPr>
            <w:r>
              <w:t>7</w:t>
            </w:r>
          </w:p>
        </w:tc>
        <w:tc>
          <w:tcPr>
            <w:tcW w:w="7486" w:type="dxa"/>
            <w:vAlign w:val="center"/>
          </w:tcPr>
          <w:p>
            <w:r>
              <w:rPr>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jc w:val="center"/>
            </w:pPr>
            <w:r>
              <w:t>8</w:t>
            </w:r>
          </w:p>
        </w:tc>
        <w:tc>
          <w:tcPr>
            <w:tcW w:w="7486" w:type="dxa"/>
            <w:vAlign w:val="center"/>
          </w:tcPr>
          <w:p>
            <w:r>
              <w:rPr>
                <w:rFonts w:hint="eastAsia"/>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jc w:val="center"/>
            </w:pPr>
            <w:r>
              <w:rPr>
                <w:rFonts w:hint="eastAsia"/>
              </w:rPr>
              <w:t>9</w:t>
            </w:r>
          </w:p>
        </w:tc>
        <w:tc>
          <w:tcPr>
            <w:tcW w:w="7486" w:type="dxa"/>
            <w:vAlign w:val="center"/>
          </w:tcPr>
          <w:p>
            <w:r>
              <w:rPr>
                <w:rFonts w:hint="eastAsia"/>
              </w:rPr>
              <w:t>所投产品、工程、服务在质量、技术、方案等方面没有实质性满足招标文件要求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jc w:val="center"/>
            </w:pPr>
            <w:r>
              <w:rPr>
                <w:rFonts w:hint="eastAsia"/>
              </w:rPr>
              <w:t>10</w:t>
            </w:r>
          </w:p>
        </w:tc>
        <w:tc>
          <w:tcPr>
            <w:tcW w:w="7486" w:type="dxa"/>
            <w:vAlign w:val="center"/>
          </w:tcPr>
          <w:p>
            <w:r>
              <w:rPr>
                <w:rFonts w:hint="eastAsia"/>
              </w:rPr>
              <w:t>未按招标文件附件所提供的样式和要求完整填写投标文件的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jc w:val="center"/>
            </w:pPr>
            <w:r>
              <w:rPr>
                <w:rFonts w:hint="eastAsia"/>
              </w:rPr>
              <w:t>11</w:t>
            </w:r>
          </w:p>
        </w:tc>
        <w:tc>
          <w:tcPr>
            <w:tcW w:w="7486" w:type="dxa"/>
            <w:vAlign w:val="center"/>
          </w:tcPr>
          <w:p>
            <w:r>
              <w:rPr>
                <w:rFonts w:hint="eastAsia"/>
              </w:rPr>
              <w:t>未按招标文件要求提供《用户需求响应表》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jc w:val="center"/>
            </w:pPr>
            <w:r>
              <w:rPr>
                <w:rFonts w:hint="eastAsia"/>
              </w:rPr>
              <w:t>12</w:t>
            </w:r>
          </w:p>
        </w:tc>
        <w:tc>
          <w:tcPr>
            <w:tcW w:w="7486" w:type="dxa"/>
            <w:vAlign w:val="center"/>
          </w:tcPr>
          <w:p>
            <w:r>
              <w:rPr>
                <w:rFonts w:hint="eastAsia"/>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 w:type="dxa"/>
            <w:vAlign w:val="center"/>
          </w:tcPr>
          <w:p>
            <w:pPr>
              <w:jc w:val="center"/>
            </w:pPr>
            <w:r>
              <w:rPr>
                <w:rFonts w:hint="eastAsia"/>
              </w:rPr>
              <w:t>13</w:t>
            </w:r>
          </w:p>
        </w:tc>
        <w:tc>
          <w:tcPr>
            <w:tcW w:w="7486" w:type="dxa"/>
            <w:vAlign w:val="center"/>
          </w:tcPr>
          <w:p>
            <w:r>
              <w:rPr>
                <w:rFonts w:hint="eastAsia"/>
              </w:rPr>
              <w:t>法律、法规规定的其他情形</w:t>
            </w:r>
          </w:p>
        </w:tc>
      </w:tr>
    </w:tbl>
    <w:p/>
    <w:p>
      <w:pPr>
        <w:spacing w:line="360" w:lineRule="auto"/>
        <w:jc w:val="center"/>
        <w:outlineLvl w:val="0"/>
        <w:rPr>
          <w:b/>
          <w:bCs/>
          <w:sz w:val="32"/>
        </w:rPr>
      </w:pPr>
      <w:r>
        <w:rPr>
          <w:rFonts w:hint="eastAsia" w:ascii="宋体" w:hAnsi="宋体"/>
          <w:sz w:val="24"/>
        </w:rPr>
        <w:br w:type="page"/>
      </w:r>
      <w:bookmarkStart w:id="1" w:name="_Toc76054641"/>
      <w:r>
        <w:rPr>
          <w:rFonts w:hint="eastAsia"/>
          <w:b/>
          <w:bCs/>
          <w:sz w:val="32"/>
        </w:rPr>
        <w:t>第二章 投标须知</w:t>
      </w:r>
      <w:bookmarkEnd w:id="1"/>
    </w:p>
    <w:p>
      <w:pPr>
        <w:spacing w:line="360" w:lineRule="auto"/>
        <w:ind w:firstLine="420" w:firstLineChars="200"/>
        <w:rPr>
          <w:szCs w:val="21"/>
        </w:rPr>
      </w:pPr>
      <w:r>
        <w:rPr>
          <w:rFonts w:hint="eastAsia" w:ascii="宋体" w:hAnsi="宋体"/>
          <w:szCs w:val="21"/>
        </w:rPr>
        <w:t>1.本项目是深圳市前海深港现代服务业合作区管理局的</w:t>
      </w:r>
      <w:r>
        <w:rPr>
          <w:rFonts w:hint="eastAsia"/>
          <w:szCs w:val="21"/>
          <w:u w:val="single"/>
        </w:rPr>
        <w:t>深港合作战略下的前海城市综合运营模式研究</w:t>
      </w:r>
      <w:r>
        <w:rPr>
          <w:rFonts w:hint="eastAsia" w:ascii="宋体" w:hAnsi="宋体"/>
          <w:szCs w:val="21"/>
        </w:rPr>
        <w:t>项目</w:t>
      </w:r>
      <w:r>
        <w:rPr>
          <w:rFonts w:hint="eastAsia" w:ascii="宋体" w:hAnsi="宋体" w:cs="Arial"/>
          <w:szCs w:val="21"/>
        </w:rPr>
        <w:t>。</w:t>
      </w:r>
    </w:p>
    <w:p>
      <w:pPr>
        <w:spacing w:line="360" w:lineRule="auto"/>
        <w:ind w:firstLine="420" w:firstLineChars="200"/>
        <w:rPr>
          <w:rFonts w:ascii="宋体" w:hAnsi="宋体"/>
          <w:szCs w:val="21"/>
        </w:rPr>
      </w:pPr>
      <w:r>
        <w:rPr>
          <w:rFonts w:hint="eastAsia" w:ascii="宋体" w:hAnsi="宋体"/>
          <w:szCs w:val="21"/>
        </w:rPr>
        <w:t>2.本项目不属于深圳市2021年集中采购目录，根据《中华人民共和国政府采购法》《深圳经济特区政府采购条例》的有关规定，深圳市前海深港现代服务业合作区管理局自行组织采购，本次采购公开征集供应商，报名且符合招标文件要求的供应商在两家或两家以上，采用综合评分法的方式进行。如参与投标且符合招标文件要求的供应商仅有一家，评审委员会应与投标供应商进行谈判，原则上成交价应在最初报价基础上自动下浮5%。</w:t>
      </w:r>
    </w:p>
    <w:p>
      <w:pPr>
        <w:spacing w:line="360" w:lineRule="auto"/>
        <w:ind w:firstLine="420" w:firstLineChars="200"/>
        <w:rPr>
          <w:rFonts w:ascii="宋体" w:hAnsi="宋体"/>
          <w:szCs w:val="21"/>
        </w:rPr>
      </w:pPr>
      <w:r>
        <w:rPr>
          <w:rFonts w:hint="eastAsia" w:ascii="宋体" w:hAnsi="宋体"/>
          <w:szCs w:val="21"/>
        </w:rPr>
        <w:t>3.本项目根据项目的实际情况，公开征集符合投标资格的供应商。请各投标人根据招标文件的要求，准备</w:t>
      </w:r>
      <w:r>
        <w:rPr>
          <w:rFonts w:hint="eastAsia" w:ascii="宋体" w:hAnsi="宋体"/>
          <w:szCs w:val="21"/>
          <w:u w:val="single"/>
        </w:rPr>
        <w:t>一正五副</w:t>
      </w:r>
      <w:r>
        <w:rPr>
          <w:rFonts w:hint="eastAsia" w:ascii="宋体" w:hAnsi="宋体"/>
          <w:szCs w:val="21"/>
        </w:rPr>
        <w:t>完备的资料进行投标。</w:t>
      </w:r>
    </w:p>
    <w:p>
      <w:pPr>
        <w:spacing w:line="360" w:lineRule="auto"/>
        <w:ind w:firstLine="420" w:firstLineChars="200"/>
        <w:rPr>
          <w:rFonts w:ascii="宋体" w:hAnsi="宋体"/>
          <w:szCs w:val="21"/>
        </w:rPr>
      </w:pPr>
      <w:r>
        <w:rPr>
          <w:rFonts w:hint="eastAsia" w:ascii="宋体" w:hAnsi="宋体"/>
          <w:szCs w:val="21"/>
        </w:rPr>
        <w:t>4.本招标文件已对本次采购项目的商务条件和服务的质量、技术要求、成果要求后续服务作出了明确的规定，投标供应商要做好述标的准备工作。</w:t>
      </w:r>
    </w:p>
    <w:p>
      <w:pPr>
        <w:spacing w:after="78" w:afterLines="25" w:line="360" w:lineRule="auto"/>
        <w:ind w:firstLine="420" w:firstLineChars="200"/>
        <w:rPr>
          <w:rFonts w:ascii="宋体" w:hAnsi="宋体"/>
          <w:szCs w:val="21"/>
        </w:rPr>
      </w:pPr>
      <w:r>
        <w:rPr>
          <w:rFonts w:hint="eastAsia" w:ascii="宋体" w:hAnsi="宋体"/>
          <w:szCs w:val="21"/>
        </w:rPr>
        <w:t>5.投标文件包括但不限于如下内容：</w:t>
      </w:r>
    </w:p>
    <w:p>
      <w:pPr>
        <w:spacing w:after="78" w:afterLines="25" w:line="360" w:lineRule="auto"/>
        <w:ind w:firstLine="420" w:firstLineChars="200"/>
        <w:rPr>
          <w:rFonts w:ascii="宋体" w:hAnsi="宋体"/>
          <w:szCs w:val="21"/>
        </w:rPr>
      </w:pPr>
      <w:r>
        <w:rPr>
          <w:rFonts w:hint="eastAsia" w:ascii="宋体" w:hAnsi="宋体"/>
          <w:szCs w:val="21"/>
        </w:rPr>
        <w:t>（1）开标一览表</w:t>
      </w:r>
    </w:p>
    <w:p>
      <w:pPr>
        <w:spacing w:after="78" w:afterLines="25" w:line="360" w:lineRule="auto"/>
        <w:ind w:firstLine="420" w:firstLineChars="200"/>
        <w:rPr>
          <w:rFonts w:ascii="宋体" w:hAnsi="宋体"/>
          <w:szCs w:val="21"/>
        </w:rPr>
      </w:pPr>
      <w:r>
        <w:rPr>
          <w:rFonts w:hint="eastAsia" w:ascii="宋体" w:hAnsi="宋体"/>
          <w:szCs w:val="21"/>
        </w:rPr>
        <w:t>（2）</w:t>
      </w:r>
      <w:r>
        <w:rPr>
          <w:rFonts w:ascii="宋体" w:hAnsi="宋体"/>
          <w:szCs w:val="21"/>
        </w:rPr>
        <w:t>投标人资格证明文件</w:t>
      </w:r>
      <w:r>
        <w:rPr>
          <w:rFonts w:hint="eastAsia" w:ascii="宋体" w:hAnsi="宋体"/>
          <w:szCs w:val="21"/>
        </w:rPr>
        <w:t>：</w:t>
      </w:r>
    </w:p>
    <w:p>
      <w:pPr>
        <w:spacing w:after="78" w:afterLines="25" w:line="360" w:lineRule="auto"/>
        <w:ind w:firstLine="420" w:firstLineChars="200"/>
        <w:rPr>
          <w:rFonts w:ascii="宋体" w:hAnsi="宋体"/>
          <w:szCs w:val="21"/>
        </w:rPr>
      </w:pPr>
      <w:r>
        <w:rPr>
          <w:rFonts w:hint="eastAsia" w:ascii="宋体" w:hAnsi="宋体"/>
          <w:szCs w:val="21"/>
        </w:rPr>
        <w:t>（3）投标响应书</w:t>
      </w:r>
    </w:p>
    <w:p>
      <w:pPr>
        <w:spacing w:after="78" w:afterLines="25" w:line="360" w:lineRule="auto"/>
        <w:ind w:firstLine="420" w:firstLineChars="200"/>
        <w:rPr>
          <w:rFonts w:ascii="宋体" w:hAnsi="宋体"/>
          <w:szCs w:val="21"/>
        </w:rPr>
      </w:pPr>
      <w:r>
        <w:rPr>
          <w:rFonts w:hint="eastAsia" w:ascii="宋体" w:hAnsi="宋体"/>
          <w:szCs w:val="21"/>
        </w:rPr>
        <w:t>（4）项目分项清单及报价</w:t>
      </w:r>
    </w:p>
    <w:p>
      <w:pPr>
        <w:spacing w:after="78" w:afterLines="25" w:line="360" w:lineRule="auto"/>
        <w:ind w:firstLine="420" w:firstLineChars="200"/>
        <w:rPr>
          <w:rFonts w:ascii="宋体" w:hAnsi="宋体"/>
          <w:szCs w:val="21"/>
        </w:rPr>
      </w:pPr>
      <w:r>
        <w:rPr>
          <w:rFonts w:hint="eastAsia" w:ascii="宋体" w:hAnsi="宋体"/>
          <w:szCs w:val="21"/>
        </w:rPr>
        <w:t>（5）后续服务计划</w:t>
      </w:r>
    </w:p>
    <w:p>
      <w:pPr>
        <w:spacing w:after="78" w:afterLines="25" w:line="360" w:lineRule="auto"/>
        <w:ind w:firstLine="420" w:firstLineChars="200"/>
        <w:rPr>
          <w:rFonts w:ascii="宋体" w:hAnsi="宋体"/>
          <w:szCs w:val="21"/>
        </w:rPr>
      </w:pPr>
      <w:r>
        <w:rPr>
          <w:rFonts w:hint="eastAsia" w:ascii="宋体" w:hAnsi="宋体"/>
          <w:szCs w:val="21"/>
        </w:rPr>
        <w:t>（6）单位主营业务介绍</w:t>
      </w:r>
    </w:p>
    <w:p>
      <w:pPr>
        <w:spacing w:after="78" w:afterLines="25" w:line="360" w:lineRule="auto"/>
        <w:ind w:firstLine="420" w:firstLineChars="200"/>
        <w:rPr>
          <w:rFonts w:ascii="宋体" w:hAnsi="宋体" w:cs="Arial"/>
          <w:szCs w:val="21"/>
        </w:rPr>
      </w:pPr>
      <w:r>
        <w:rPr>
          <w:rFonts w:hint="eastAsia" w:ascii="宋体" w:hAnsi="宋体"/>
          <w:szCs w:val="21"/>
        </w:rPr>
        <w:t>（7）</w:t>
      </w:r>
      <w:r>
        <w:rPr>
          <w:rFonts w:hint="eastAsia" w:ascii="宋体" w:hAnsi="宋体" w:cs="Arial"/>
          <w:szCs w:val="21"/>
        </w:rPr>
        <w:t>同类项目业绩情况</w:t>
      </w:r>
    </w:p>
    <w:p>
      <w:pPr>
        <w:spacing w:after="78" w:afterLines="25" w:line="360" w:lineRule="auto"/>
        <w:ind w:firstLine="420" w:firstLineChars="200"/>
        <w:rPr>
          <w:rFonts w:ascii="宋体" w:hAnsi="宋体" w:cs="Arial"/>
          <w:szCs w:val="21"/>
        </w:rPr>
      </w:pPr>
      <w:r>
        <w:rPr>
          <w:rFonts w:hint="eastAsia" w:ascii="宋体" w:hAnsi="宋体" w:cs="Arial"/>
          <w:szCs w:val="21"/>
        </w:rPr>
        <w:t>（8）项目负责人和团队人员情况表；</w:t>
      </w:r>
    </w:p>
    <w:p>
      <w:pPr>
        <w:spacing w:after="78" w:afterLines="25" w:line="360" w:lineRule="auto"/>
        <w:ind w:firstLine="420" w:firstLineChars="200"/>
        <w:rPr>
          <w:rFonts w:ascii="宋体" w:hAnsi="宋体" w:cs="Arial"/>
          <w:szCs w:val="21"/>
        </w:rPr>
      </w:pPr>
      <w:r>
        <w:rPr>
          <w:rFonts w:hint="eastAsia" w:ascii="宋体" w:hAnsi="宋体" w:cs="Arial"/>
          <w:szCs w:val="21"/>
        </w:rPr>
        <w:t>（9）实施方案</w:t>
      </w:r>
    </w:p>
    <w:p>
      <w:pPr>
        <w:spacing w:after="78" w:afterLines="25" w:line="360" w:lineRule="auto"/>
        <w:ind w:firstLine="420" w:firstLineChars="200"/>
        <w:rPr>
          <w:rFonts w:ascii="宋体" w:hAnsi="宋体" w:cs="Arial"/>
          <w:szCs w:val="21"/>
        </w:rPr>
      </w:pPr>
      <w:r>
        <w:rPr>
          <w:rFonts w:hint="eastAsia" w:ascii="宋体" w:hAnsi="宋体" w:cs="Arial"/>
          <w:szCs w:val="21"/>
        </w:rPr>
        <w:t>（10）投标人诚信承诺函</w:t>
      </w:r>
    </w:p>
    <w:p>
      <w:pPr>
        <w:spacing w:after="78" w:afterLines="25" w:line="360" w:lineRule="auto"/>
        <w:ind w:firstLine="420" w:firstLineChars="200"/>
        <w:rPr>
          <w:rFonts w:ascii="宋体" w:hAnsi="宋体"/>
          <w:szCs w:val="21"/>
        </w:rPr>
      </w:pPr>
      <w:r>
        <w:rPr>
          <w:rFonts w:hint="eastAsia" w:ascii="宋体" w:hAnsi="宋体"/>
          <w:szCs w:val="21"/>
        </w:rPr>
        <w:t>（11）投标人履约承诺函</w:t>
      </w:r>
    </w:p>
    <w:p>
      <w:pPr>
        <w:spacing w:after="78" w:afterLines="25" w:line="360" w:lineRule="auto"/>
        <w:ind w:firstLine="420" w:firstLineChars="200"/>
        <w:rPr>
          <w:rFonts w:ascii="宋体" w:hAnsi="宋体"/>
          <w:szCs w:val="21"/>
        </w:rPr>
      </w:pPr>
      <w:r>
        <w:rPr>
          <w:rFonts w:hint="eastAsia" w:ascii="宋体" w:hAnsi="宋体"/>
          <w:szCs w:val="21"/>
        </w:rPr>
        <w:t>（12）用户需求响应表</w:t>
      </w:r>
    </w:p>
    <w:p>
      <w:pPr>
        <w:spacing w:after="78" w:afterLines="25" w:line="360" w:lineRule="auto"/>
        <w:ind w:firstLine="420" w:firstLineChars="200"/>
        <w:rPr>
          <w:rFonts w:ascii="宋体" w:hAnsi="宋体"/>
          <w:szCs w:val="21"/>
        </w:rPr>
      </w:pPr>
      <w:r>
        <w:rPr>
          <w:rFonts w:hint="eastAsia" w:ascii="宋体" w:hAnsi="宋体"/>
          <w:szCs w:val="21"/>
        </w:rPr>
        <w:t>（13）投标人认为需提供的其它文件及评分所需证明文件。</w:t>
      </w:r>
    </w:p>
    <w:p>
      <w:pPr>
        <w:spacing w:line="360" w:lineRule="auto"/>
        <w:ind w:firstLine="420" w:firstLineChars="200"/>
        <w:rPr>
          <w:rFonts w:ascii="宋体" w:hAnsi="宋体"/>
          <w:szCs w:val="21"/>
        </w:rPr>
      </w:pPr>
      <w:r>
        <w:rPr>
          <w:rFonts w:hint="eastAsia" w:ascii="宋体" w:hAnsi="宋体"/>
          <w:szCs w:val="21"/>
        </w:rPr>
        <w:t>6.项目的报价要求。</w:t>
      </w:r>
      <w:r>
        <w:rPr>
          <w:rFonts w:hint="eastAsia" w:ascii="宋体" w:hAnsi="宋体" w:cs="Arial"/>
          <w:szCs w:val="21"/>
        </w:rPr>
        <w:t>投标报价以人民币报价，为综合报价，报价应包括各项服务内容、税费</w:t>
      </w:r>
      <w:r>
        <w:rPr>
          <w:rFonts w:hint="eastAsia" w:ascii="宋体" w:hAnsi="宋体"/>
          <w:szCs w:val="21"/>
        </w:rPr>
        <w:t>及与本项目有关的一切费用的总价。</w:t>
      </w:r>
    </w:p>
    <w:p>
      <w:pPr>
        <w:spacing w:line="360" w:lineRule="auto"/>
        <w:ind w:firstLine="420" w:firstLineChars="200"/>
        <w:rPr>
          <w:rFonts w:ascii="宋体" w:hAnsi="宋体"/>
          <w:b/>
          <w:szCs w:val="21"/>
        </w:rPr>
      </w:pPr>
      <w:r>
        <w:rPr>
          <w:rFonts w:ascii="宋体" w:hAnsi="宋体"/>
          <w:szCs w:val="21"/>
        </w:rPr>
        <w:t>7</w:t>
      </w:r>
      <w:r>
        <w:rPr>
          <w:rFonts w:hint="eastAsia" w:ascii="宋体" w:hAnsi="宋体"/>
          <w:szCs w:val="21"/>
        </w:rPr>
        <w:t>.</w:t>
      </w:r>
      <w:r>
        <w:rPr>
          <w:rFonts w:hint="eastAsia" w:ascii="宋体" w:hAnsi="宋体"/>
          <w:bCs/>
          <w:szCs w:val="21"/>
        </w:rPr>
        <w:t>采购人会对本次招标的项目确定一个最高限价，最终成交价格超出最高限价将会被当作无效投标处理。</w:t>
      </w:r>
    </w:p>
    <w:p>
      <w:pPr>
        <w:spacing w:line="360" w:lineRule="auto"/>
        <w:ind w:firstLine="420" w:firstLineChars="200"/>
        <w:rPr>
          <w:rFonts w:ascii="宋体" w:hAnsi="宋体"/>
          <w:bCs/>
          <w:szCs w:val="21"/>
        </w:rPr>
      </w:pPr>
      <w:r>
        <w:rPr>
          <w:rFonts w:hint="eastAsia" w:ascii="宋体" w:hAnsi="宋体"/>
          <w:bCs/>
          <w:szCs w:val="21"/>
        </w:rPr>
        <w:t>8.参加投标的供应商如需在现场述标时，要派出熟悉本项目情况的投标人代表参加，同时要提供法人代表的授权和法人代表证明。</w:t>
      </w:r>
    </w:p>
    <w:p>
      <w:pPr>
        <w:spacing w:line="360" w:lineRule="auto"/>
        <w:ind w:firstLine="420" w:firstLineChars="200"/>
      </w:pPr>
      <w:r>
        <w:rPr>
          <w:rFonts w:hint="eastAsia" w:ascii="宋体" w:hAnsi="宋体"/>
          <w:szCs w:val="21"/>
        </w:rPr>
        <w:t>9.采购方有权根据项目的实际情况提出质量标准、服务标准、验收方式、付款方式、履约保证、价格等方面的要求，并就这些内容进行谈判，所有供应商都在同一标准下进行谈判。</w:t>
      </w:r>
    </w:p>
    <w:p>
      <w:pPr>
        <w:spacing w:line="360" w:lineRule="auto"/>
        <w:ind w:firstLine="420" w:firstLineChars="200"/>
        <w:rPr>
          <w:rFonts w:ascii="宋体" w:hAnsi="宋体"/>
          <w:szCs w:val="21"/>
        </w:rPr>
      </w:pPr>
      <w:r>
        <w:rPr>
          <w:rFonts w:hint="eastAsia" w:ascii="宋体" w:hAnsi="宋体"/>
          <w:szCs w:val="21"/>
        </w:rPr>
        <w:t>10.本次采购凡涉及知识产权问题，由投标人负责。</w:t>
      </w:r>
    </w:p>
    <w:p>
      <w:pPr>
        <w:spacing w:line="360" w:lineRule="auto"/>
        <w:ind w:firstLine="420" w:firstLineChars="200"/>
        <w:rPr>
          <w:rFonts w:ascii="宋体" w:hAnsi="宋体"/>
          <w:szCs w:val="21"/>
        </w:rPr>
      </w:pPr>
      <w:r>
        <w:rPr>
          <w:rFonts w:hint="eastAsia" w:ascii="宋体" w:hAnsi="宋体"/>
          <w:szCs w:val="21"/>
        </w:rPr>
        <w:t>11.采购人将组成评审委员会，评审工作由评审委员会独立负责。</w:t>
      </w:r>
    </w:p>
    <w:p>
      <w:pPr>
        <w:spacing w:line="360" w:lineRule="auto"/>
        <w:ind w:firstLine="420" w:firstLineChars="200"/>
        <w:rPr>
          <w:rFonts w:ascii="宋体" w:hAnsi="宋体"/>
          <w:szCs w:val="21"/>
        </w:rPr>
      </w:pPr>
      <w:r>
        <w:rPr>
          <w:rFonts w:hint="eastAsia" w:ascii="宋体" w:hAnsi="宋体"/>
          <w:szCs w:val="21"/>
        </w:rPr>
        <w:t>12.投标人应在规定的时间内提交投标文件，如需投标人代表到达现场述标，采购人将会在招标文件中作出要求，投标人代表须在规定的时间到达评标现场，否则视为放弃述标资格。</w:t>
      </w:r>
    </w:p>
    <w:p>
      <w:pPr>
        <w:spacing w:line="360" w:lineRule="auto"/>
        <w:ind w:firstLine="420" w:firstLineChars="200"/>
        <w:rPr>
          <w:rFonts w:ascii="宋体" w:hAnsi="宋体"/>
          <w:szCs w:val="21"/>
        </w:rPr>
      </w:pPr>
      <w:r>
        <w:rPr>
          <w:rFonts w:hint="eastAsia" w:ascii="宋体" w:hAnsi="宋体"/>
          <w:szCs w:val="21"/>
        </w:rPr>
        <w:t>13.采用综合评分法的情况：评审委员会将分别对投标人递交的投标文件进行评审。</w:t>
      </w:r>
    </w:p>
    <w:p>
      <w:pPr>
        <w:spacing w:line="360" w:lineRule="auto"/>
        <w:ind w:firstLine="420" w:firstLineChars="200"/>
        <w:rPr>
          <w:rFonts w:ascii="宋体" w:hAnsi="宋体"/>
          <w:szCs w:val="21"/>
        </w:rPr>
      </w:pPr>
      <w:r>
        <w:rPr>
          <w:rFonts w:hint="eastAsia" w:ascii="宋体" w:hAnsi="宋体"/>
          <w:szCs w:val="21"/>
        </w:rPr>
        <w:t>（1）评审委员会将根据投标人递交的投标文件，按照招标文件要求进行综合评审，评审委员会依据得分情况，取综合得分最高的投标人为第一中标候选人。</w:t>
      </w:r>
    </w:p>
    <w:p>
      <w:pPr>
        <w:spacing w:line="360" w:lineRule="auto"/>
        <w:ind w:firstLine="420" w:firstLineChars="200"/>
        <w:rPr>
          <w:rFonts w:ascii="宋体" w:hAnsi="宋体"/>
          <w:szCs w:val="21"/>
        </w:rPr>
      </w:pPr>
      <w:r>
        <w:rPr>
          <w:rFonts w:hint="eastAsia" w:ascii="宋体" w:hAnsi="宋体"/>
          <w:szCs w:val="21"/>
        </w:rPr>
        <w:t>（2）如果二个及以上投标人的综合评分相同时，取投标价格低者为第一中标候选人。</w:t>
      </w:r>
    </w:p>
    <w:p>
      <w:pPr>
        <w:spacing w:line="360" w:lineRule="auto"/>
        <w:ind w:firstLine="420" w:firstLineChars="200"/>
        <w:rPr>
          <w:rFonts w:ascii="宋体" w:hAnsi="宋体"/>
          <w:szCs w:val="21"/>
        </w:rPr>
      </w:pPr>
      <w:r>
        <w:rPr>
          <w:rFonts w:hint="eastAsia" w:ascii="宋体" w:hAnsi="宋体"/>
          <w:szCs w:val="21"/>
        </w:rPr>
        <w:t>（3）如果二个及以上投标人的综合评分相同，且投标价格也相同时，取技术部分得分高者为第一中标候选人。</w:t>
      </w:r>
    </w:p>
    <w:p>
      <w:pPr>
        <w:spacing w:line="360" w:lineRule="auto"/>
        <w:ind w:firstLine="420" w:firstLineChars="200"/>
        <w:rPr>
          <w:rFonts w:ascii="宋体" w:hAnsi="宋体"/>
          <w:szCs w:val="21"/>
        </w:rPr>
      </w:pPr>
      <w:r>
        <w:rPr>
          <w:rFonts w:hint="eastAsia" w:ascii="宋体" w:hAnsi="宋体"/>
          <w:szCs w:val="21"/>
        </w:rPr>
        <w:t>14.供应商不得将本项目</w:t>
      </w:r>
      <w:r>
        <w:rPr>
          <w:rFonts w:hint="eastAsia" w:ascii="宋体" w:hAnsi="宋体" w:cs="宋体"/>
          <w:szCs w:val="21"/>
          <w:lang w:bidi="ar"/>
        </w:rPr>
        <w:t>全部</w:t>
      </w:r>
      <w:r>
        <w:rPr>
          <w:rFonts w:hint="eastAsia" w:ascii="宋体" w:hAnsi="宋体"/>
          <w:szCs w:val="21"/>
        </w:rPr>
        <w:t>转包给其他人。</w:t>
      </w:r>
    </w:p>
    <w:p>
      <w:pPr>
        <w:ind w:firstLine="420" w:firstLineChars="200"/>
      </w:pPr>
      <w:r>
        <w:rPr>
          <w:rFonts w:hint="eastAsia" w:ascii="宋体" w:hAnsi="宋体"/>
          <w:szCs w:val="21"/>
        </w:rPr>
        <w:t>15.所有的评审/谈判内容都必须保密。</w:t>
      </w:r>
    </w:p>
    <w:p>
      <w:pPr>
        <w:spacing w:line="360" w:lineRule="auto"/>
        <w:ind w:firstLine="420" w:firstLineChars="200"/>
        <w:rPr>
          <w:szCs w:val="21"/>
        </w:rPr>
      </w:pPr>
      <w:r>
        <w:rPr>
          <w:rFonts w:hint="eastAsia" w:ascii="宋体" w:hAnsi="宋体" w:cs="宋体"/>
          <w:szCs w:val="21"/>
        </w:rPr>
        <w:t>16.</w:t>
      </w:r>
      <w:r>
        <w:rPr>
          <w:rFonts w:hint="eastAsia"/>
          <w:szCs w:val="21"/>
        </w:rPr>
        <w:t>招标代理服务收费：</w:t>
      </w:r>
    </w:p>
    <w:p>
      <w:pPr>
        <w:spacing w:line="360" w:lineRule="auto"/>
        <w:ind w:firstLine="420" w:firstLineChars="200"/>
        <w:rPr>
          <w:szCs w:val="21"/>
        </w:rPr>
      </w:pPr>
      <w:r>
        <w:rPr>
          <w:rFonts w:hint="eastAsia"/>
          <w:szCs w:val="21"/>
        </w:rPr>
        <w:t>按《深圳市财政委员会关于规范深圳市社会采购代理机构管理有关事项的补充通知》文件要求收取，招标代理服务费以中标金额为基数、按差额定率累进法计算收取。（计算的服务费低于3000元时，按3000元收取）具体计取费率标准如下表所示：</w:t>
      </w:r>
    </w:p>
    <w:tbl>
      <w:tblPr>
        <w:tblStyle w:val="20"/>
        <w:tblW w:w="0" w:type="auto"/>
        <w:tblInd w:w="0" w:type="dxa"/>
        <w:tblLayout w:type="fixed"/>
        <w:tblCellMar>
          <w:top w:w="15" w:type="dxa"/>
          <w:left w:w="15" w:type="dxa"/>
          <w:bottom w:w="15" w:type="dxa"/>
          <w:right w:w="15" w:type="dxa"/>
        </w:tblCellMar>
      </w:tblPr>
      <w:tblGrid>
        <w:gridCol w:w="2881"/>
        <w:gridCol w:w="1980"/>
        <w:gridCol w:w="1740"/>
        <w:gridCol w:w="1845"/>
      </w:tblGrid>
      <w:tr>
        <w:tblPrEx>
          <w:tblCellMar>
            <w:top w:w="15" w:type="dxa"/>
            <w:left w:w="15" w:type="dxa"/>
            <w:bottom w:w="15" w:type="dxa"/>
            <w:right w:w="15" w:type="dxa"/>
          </w:tblCellMar>
        </w:tblPrEx>
        <w:trPr>
          <w:trHeight w:val="299" w:hRule="atLeast"/>
        </w:trPr>
        <w:tc>
          <w:tcPr>
            <w:tcW w:w="2881" w:type="dxa"/>
            <w:tcBorders>
              <w:top w:val="single" w:color="auto" w:sz="8" w:space="0"/>
              <w:left w:val="single" w:color="auto" w:sz="8" w:space="0"/>
              <w:bottom w:val="single" w:color="auto" w:sz="8" w:space="0"/>
              <w:right w:val="single" w:color="auto" w:sz="8" w:space="0"/>
            </w:tcBorders>
            <w:tcMar>
              <w:top w:w="27" w:type="dxa"/>
              <w:left w:w="136" w:type="dxa"/>
              <w:bottom w:w="27" w:type="dxa"/>
              <w:right w:w="136" w:type="dxa"/>
            </w:tcMar>
            <w:vAlign w:val="center"/>
          </w:tcPr>
          <w:p>
            <w:pPr>
              <w:widowControl/>
              <w:jc w:val="center"/>
              <w:rPr>
                <w:rFonts w:ascii="宋体" w:hAnsi="宋体" w:cs="宋体"/>
                <w:kern w:val="0"/>
                <w:szCs w:val="21"/>
              </w:rPr>
            </w:pPr>
            <w:r>
              <w:rPr>
                <w:rFonts w:hint="eastAsia" w:ascii="宋体" w:hAnsi="宋体" w:cs="宋体"/>
                <w:b/>
                <w:bCs/>
                <w:kern w:val="0"/>
                <w:szCs w:val="21"/>
              </w:rPr>
              <w:t>服费务类率型中标金额</w:t>
            </w:r>
          </w:p>
        </w:tc>
        <w:tc>
          <w:tcPr>
            <w:tcW w:w="1980" w:type="dxa"/>
            <w:tcBorders>
              <w:top w:val="single" w:color="auto" w:sz="8" w:space="0"/>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b/>
                <w:bCs/>
                <w:kern w:val="0"/>
                <w:szCs w:val="21"/>
              </w:rPr>
              <w:t xml:space="preserve"> 货物采购</w:t>
            </w:r>
          </w:p>
        </w:tc>
        <w:tc>
          <w:tcPr>
            <w:tcW w:w="1740" w:type="dxa"/>
            <w:tcBorders>
              <w:top w:val="single" w:color="auto" w:sz="8" w:space="0"/>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b/>
                <w:bCs/>
                <w:kern w:val="0"/>
                <w:szCs w:val="21"/>
              </w:rPr>
              <w:t xml:space="preserve"> 服务采购</w:t>
            </w:r>
          </w:p>
        </w:tc>
        <w:tc>
          <w:tcPr>
            <w:tcW w:w="1845" w:type="dxa"/>
            <w:tcBorders>
              <w:top w:val="single" w:color="auto" w:sz="8" w:space="0"/>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b/>
                <w:bCs/>
                <w:kern w:val="0"/>
                <w:szCs w:val="21"/>
              </w:rPr>
              <w:t xml:space="preserve"> 工程采购</w:t>
            </w:r>
          </w:p>
        </w:tc>
      </w:tr>
      <w:tr>
        <w:tblPrEx>
          <w:tblCellMar>
            <w:top w:w="15" w:type="dxa"/>
            <w:left w:w="15" w:type="dxa"/>
            <w:bottom w:w="15" w:type="dxa"/>
            <w:right w:w="15" w:type="dxa"/>
          </w:tblCellMar>
        </w:tblPrEx>
        <w:trPr>
          <w:trHeight w:val="299" w:hRule="atLeast"/>
        </w:trPr>
        <w:tc>
          <w:tcPr>
            <w:tcW w:w="2881"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100万元以下</w:t>
            </w:r>
          </w:p>
        </w:tc>
        <w:tc>
          <w:tcPr>
            <w:tcW w:w="198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1.5%</w:t>
            </w:r>
          </w:p>
        </w:tc>
        <w:tc>
          <w:tcPr>
            <w:tcW w:w="174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1.5%</w:t>
            </w:r>
          </w:p>
        </w:tc>
        <w:tc>
          <w:tcPr>
            <w:tcW w:w="1845"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1.0%</w:t>
            </w:r>
          </w:p>
        </w:tc>
      </w:tr>
      <w:tr>
        <w:tblPrEx>
          <w:tblCellMar>
            <w:top w:w="15" w:type="dxa"/>
            <w:left w:w="15" w:type="dxa"/>
            <w:bottom w:w="15" w:type="dxa"/>
            <w:right w:w="15" w:type="dxa"/>
          </w:tblCellMar>
        </w:tblPrEx>
        <w:trPr>
          <w:trHeight w:val="299" w:hRule="atLeast"/>
        </w:trPr>
        <w:tc>
          <w:tcPr>
            <w:tcW w:w="2881"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100万元（含）-500万元</w:t>
            </w:r>
          </w:p>
        </w:tc>
        <w:tc>
          <w:tcPr>
            <w:tcW w:w="198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1.1%</w:t>
            </w:r>
          </w:p>
        </w:tc>
        <w:tc>
          <w:tcPr>
            <w:tcW w:w="174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0.8%</w:t>
            </w:r>
          </w:p>
        </w:tc>
        <w:tc>
          <w:tcPr>
            <w:tcW w:w="1845"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0.7%</w:t>
            </w:r>
          </w:p>
        </w:tc>
      </w:tr>
      <w:tr>
        <w:tblPrEx>
          <w:tblCellMar>
            <w:top w:w="15" w:type="dxa"/>
            <w:left w:w="15" w:type="dxa"/>
            <w:bottom w:w="15" w:type="dxa"/>
            <w:right w:w="15" w:type="dxa"/>
          </w:tblCellMar>
        </w:tblPrEx>
        <w:trPr>
          <w:trHeight w:val="299" w:hRule="atLeast"/>
        </w:trPr>
        <w:tc>
          <w:tcPr>
            <w:tcW w:w="2881"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500万元（含）-1000万元</w:t>
            </w:r>
          </w:p>
        </w:tc>
        <w:tc>
          <w:tcPr>
            <w:tcW w:w="198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0.8%</w:t>
            </w:r>
          </w:p>
        </w:tc>
        <w:tc>
          <w:tcPr>
            <w:tcW w:w="174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0.45%</w:t>
            </w:r>
          </w:p>
        </w:tc>
        <w:tc>
          <w:tcPr>
            <w:tcW w:w="1845"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0.55%</w:t>
            </w:r>
          </w:p>
        </w:tc>
      </w:tr>
      <w:tr>
        <w:tblPrEx>
          <w:tblCellMar>
            <w:top w:w="15" w:type="dxa"/>
            <w:left w:w="15" w:type="dxa"/>
            <w:bottom w:w="15" w:type="dxa"/>
            <w:right w:w="15" w:type="dxa"/>
          </w:tblCellMar>
        </w:tblPrEx>
        <w:trPr>
          <w:trHeight w:val="299" w:hRule="atLeast"/>
        </w:trPr>
        <w:tc>
          <w:tcPr>
            <w:tcW w:w="2881"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1000万元（含）-5000万元</w:t>
            </w:r>
          </w:p>
        </w:tc>
        <w:tc>
          <w:tcPr>
            <w:tcW w:w="198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0.5%</w:t>
            </w:r>
          </w:p>
        </w:tc>
        <w:tc>
          <w:tcPr>
            <w:tcW w:w="174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0.25%</w:t>
            </w:r>
          </w:p>
        </w:tc>
        <w:tc>
          <w:tcPr>
            <w:tcW w:w="1845"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0.35%</w:t>
            </w:r>
          </w:p>
        </w:tc>
      </w:tr>
      <w:tr>
        <w:tblPrEx>
          <w:tblCellMar>
            <w:top w:w="15" w:type="dxa"/>
            <w:left w:w="15" w:type="dxa"/>
            <w:bottom w:w="15" w:type="dxa"/>
            <w:right w:w="15" w:type="dxa"/>
          </w:tblCellMar>
        </w:tblPrEx>
        <w:trPr>
          <w:trHeight w:val="299" w:hRule="atLeast"/>
        </w:trPr>
        <w:tc>
          <w:tcPr>
            <w:tcW w:w="2881"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5000万元（含）-1亿元</w:t>
            </w:r>
          </w:p>
        </w:tc>
        <w:tc>
          <w:tcPr>
            <w:tcW w:w="198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0.25%</w:t>
            </w:r>
          </w:p>
        </w:tc>
        <w:tc>
          <w:tcPr>
            <w:tcW w:w="174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0.1%</w:t>
            </w:r>
          </w:p>
        </w:tc>
        <w:tc>
          <w:tcPr>
            <w:tcW w:w="1845"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0.2%</w:t>
            </w:r>
          </w:p>
        </w:tc>
      </w:tr>
      <w:tr>
        <w:tblPrEx>
          <w:tblCellMar>
            <w:top w:w="15" w:type="dxa"/>
            <w:left w:w="15" w:type="dxa"/>
            <w:bottom w:w="15" w:type="dxa"/>
            <w:right w:w="15" w:type="dxa"/>
          </w:tblCellMar>
        </w:tblPrEx>
        <w:trPr>
          <w:trHeight w:val="299" w:hRule="atLeast"/>
        </w:trPr>
        <w:tc>
          <w:tcPr>
            <w:tcW w:w="2881"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1亿元（含）-5亿元</w:t>
            </w:r>
          </w:p>
        </w:tc>
        <w:tc>
          <w:tcPr>
            <w:tcW w:w="198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0.05%</w:t>
            </w:r>
          </w:p>
        </w:tc>
        <w:tc>
          <w:tcPr>
            <w:tcW w:w="174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0.05%</w:t>
            </w:r>
          </w:p>
        </w:tc>
        <w:tc>
          <w:tcPr>
            <w:tcW w:w="1845"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0.05%</w:t>
            </w:r>
          </w:p>
        </w:tc>
      </w:tr>
      <w:tr>
        <w:tblPrEx>
          <w:tblCellMar>
            <w:top w:w="15" w:type="dxa"/>
            <w:left w:w="15" w:type="dxa"/>
            <w:bottom w:w="15" w:type="dxa"/>
            <w:right w:w="15" w:type="dxa"/>
          </w:tblCellMar>
        </w:tblPrEx>
        <w:trPr>
          <w:trHeight w:val="299" w:hRule="atLeast"/>
        </w:trPr>
        <w:tc>
          <w:tcPr>
            <w:tcW w:w="2881"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5亿元（含）-10亿元</w:t>
            </w:r>
          </w:p>
        </w:tc>
        <w:tc>
          <w:tcPr>
            <w:tcW w:w="198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0.035%</w:t>
            </w:r>
          </w:p>
        </w:tc>
        <w:tc>
          <w:tcPr>
            <w:tcW w:w="174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0.035%</w:t>
            </w:r>
          </w:p>
        </w:tc>
        <w:tc>
          <w:tcPr>
            <w:tcW w:w="1845"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0.035%</w:t>
            </w:r>
          </w:p>
        </w:tc>
      </w:tr>
      <w:tr>
        <w:tblPrEx>
          <w:tblCellMar>
            <w:top w:w="15" w:type="dxa"/>
            <w:left w:w="15" w:type="dxa"/>
            <w:bottom w:w="15" w:type="dxa"/>
            <w:right w:w="15" w:type="dxa"/>
          </w:tblCellMar>
        </w:tblPrEx>
        <w:trPr>
          <w:trHeight w:val="299" w:hRule="atLeast"/>
        </w:trPr>
        <w:tc>
          <w:tcPr>
            <w:tcW w:w="2881"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10亿元（含）-50亿元</w:t>
            </w:r>
          </w:p>
        </w:tc>
        <w:tc>
          <w:tcPr>
            <w:tcW w:w="198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0.008%</w:t>
            </w:r>
          </w:p>
        </w:tc>
        <w:tc>
          <w:tcPr>
            <w:tcW w:w="174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0.008%</w:t>
            </w:r>
          </w:p>
        </w:tc>
        <w:tc>
          <w:tcPr>
            <w:tcW w:w="1845"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0.008%</w:t>
            </w:r>
          </w:p>
        </w:tc>
      </w:tr>
      <w:tr>
        <w:tblPrEx>
          <w:tblCellMar>
            <w:top w:w="15" w:type="dxa"/>
            <w:left w:w="15" w:type="dxa"/>
            <w:bottom w:w="15" w:type="dxa"/>
            <w:right w:w="15" w:type="dxa"/>
          </w:tblCellMar>
        </w:tblPrEx>
        <w:trPr>
          <w:trHeight w:val="299" w:hRule="atLeast"/>
        </w:trPr>
        <w:tc>
          <w:tcPr>
            <w:tcW w:w="2881"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50亿元（含）-100亿元</w:t>
            </w:r>
          </w:p>
        </w:tc>
        <w:tc>
          <w:tcPr>
            <w:tcW w:w="198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0.006%</w:t>
            </w:r>
          </w:p>
        </w:tc>
        <w:tc>
          <w:tcPr>
            <w:tcW w:w="174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0.006%</w:t>
            </w:r>
          </w:p>
        </w:tc>
        <w:tc>
          <w:tcPr>
            <w:tcW w:w="1845"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0.006%</w:t>
            </w:r>
          </w:p>
        </w:tc>
      </w:tr>
      <w:tr>
        <w:tblPrEx>
          <w:tblCellMar>
            <w:top w:w="15" w:type="dxa"/>
            <w:left w:w="15" w:type="dxa"/>
            <w:bottom w:w="15" w:type="dxa"/>
            <w:right w:w="15" w:type="dxa"/>
          </w:tblCellMar>
        </w:tblPrEx>
        <w:trPr>
          <w:trHeight w:val="299" w:hRule="atLeast"/>
        </w:trPr>
        <w:tc>
          <w:tcPr>
            <w:tcW w:w="2881" w:type="dxa"/>
            <w:tcBorders>
              <w:top w:val="nil"/>
              <w:left w:val="single" w:color="auto" w:sz="8" w:space="0"/>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100亿元（含）以上</w:t>
            </w:r>
          </w:p>
        </w:tc>
        <w:tc>
          <w:tcPr>
            <w:tcW w:w="198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0.004%</w:t>
            </w:r>
          </w:p>
        </w:tc>
        <w:tc>
          <w:tcPr>
            <w:tcW w:w="1740"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0.004%</w:t>
            </w:r>
          </w:p>
        </w:tc>
        <w:tc>
          <w:tcPr>
            <w:tcW w:w="1845" w:type="dxa"/>
            <w:tcBorders>
              <w:top w:val="nil"/>
              <w:left w:val="nil"/>
              <w:bottom w:val="single" w:color="auto" w:sz="8" w:space="0"/>
              <w:right w:val="single" w:color="auto" w:sz="8" w:space="0"/>
            </w:tcBorders>
            <w:tcMar>
              <w:top w:w="27" w:type="dxa"/>
              <w:left w:w="136" w:type="dxa"/>
              <w:bottom w:w="27" w:type="dxa"/>
              <w:right w:w="136" w:type="dxa"/>
            </w:tcMar>
            <w:vAlign w:val="center"/>
          </w:tcPr>
          <w:p>
            <w:pPr>
              <w:widowControl/>
              <w:wordWrap w:val="0"/>
              <w:spacing w:before="100" w:beforeAutospacing="1" w:after="100" w:afterAutospacing="1"/>
              <w:jc w:val="center"/>
              <w:rPr>
                <w:rFonts w:ascii="宋体" w:hAnsi="宋体" w:cs="宋体"/>
                <w:kern w:val="0"/>
                <w:szCs w:val="21"/>
              </w:rPr>
            </w:pPr>
            <w:r>
              <w:rPr>
                <w:rFonts w:hint="eastAsia" w:ascii="宋体" w:hAnsi="宋体" w:cs="宋体"/>
                <w:kern w:val="0"/>
                <w:szCs w:val="21"/>
              </w:rPr>
              <w:t>0.004%</w:t>
            </w:r>
          </w:p>
        </w:tc>
      </w:tr>
    </w:tbl>
    <w:p>
      <w:pPr>
        <w:spacing w:line="360" w:lineRule="auto"/>
        <w:ind w:firstLine="420" w:firstLineChars="200"/>
        <w:rPr>
          <w:szCs w:val="21"/>
        </w:rPr>
      </w:pPr>
      <w:r>
        <w:rPr>
          <w:rFonts w:hint="eastAsia"/>
          <w:szCs w:val="21"/>
        </w:rPr>
        <w:t>招标代理服务费缴纳至：</w:t>
      </w:r>
    </w:p>
    <w:p>
      <w:pPr>
        <w:spacing w:line="360" w:lineRule="auto"/>
        <w:ind w:firstLine="420" w:firstLineChars="200"/>
        <w:rPr>
          <w:szCs w:val="21"/>
        </w:rPr>
      </w:pPr>
      <w:r>
        <w:rPr>
          <w:rFonts w:hint="eastAsia"/>
          <w:szCs w:val="21"/>
        </w:rPr>
        <w:t>开户名称</w:t>
      </w:r>
      <w:r>
        <w:rPr>
          <w:rFonts w:hint="eastAsia"/>
          <w:szCs w:val="21"/>
          <w:u w:val="single"/>
        </w:rPr>
        <w:t>：友和保险经纪有限公司</w:t>
      </w:r>
    </w:p>
    <w:p>
      <w:pPr>
        <w:spacing w:line="360" w:lineRule="auto"/>
        <w:ind w:firstLine="420" w:firstLineChars="200"/>
        <w:rPr>
          <w:szCs w:val="21"/>
        </w:rPr>
      </w:pPr>
      <w:r>
        <w:rPr>
          <w:rFonts w:hint="eastAsia"/>
          <w:szCs w:val="21"/>
        </w:rPr>
        <w:t>银行帐号</w:t>
      </w:r>
      <w:r>
        <w:rPr>
          <w:rFonts w:hint="eastAsia"/>
          <w:szCs w:val="21"/>
          <w:u w:val="single"/>
        </w:rPr>
        <w:t>：中国民生银行深圳分行福田支行</w:t>
      </w:r>
    </w:p>
    <w:p>
      <w:pPr>
        <w:spacing w:line="360" w:lineRule="auto"/>
        <w:ind w:firstLine="420" w:firstLineChars="200"/>
        <w:rPr>
          <w:szCs w:val="21"/>
        </w:rPr>
      </w:pPr>
      <w:r>
        <w:rPr>
          <w:rFonts w:hint="eastAsia"/>
          <w:szCs w:val="21"/>
        </w:rPr>
        <w:t>开户银行</w:t>
      </w:r>
      <w:r>
        <w:rPr>
          <w:rFonts w:hint="eastAsia"/>
          <w:szCs w:val="21"/>
          <w:u w:val="single"/>
        </w:rPr>
        <w:t>：1806014170017592</w:t>
      </w:r>
    </w:p>
    <w:p>
      <w:pPr>
        <w:spacing w:line="360" w:lineRule="auto"/>
        <w:rPr>
          <w:sz w:val="24"/>
        </w:rPr>
      </w:pPr>
    </w:p>
    <w:p>
      <w:pPr>
        <w:spacing w:line="360" w:lineRule="auto"/>
        <w:rPr>
          <w:sz w:val="24"/>
        </w:rPr>
      </w:pPr>
    </w:p>
    <w:p>
      <w:pPr>
        <w:spacing w:line="360" w:lineRule="auto"/>
        <w:rPr>
          <w:sz w:val="24"/>
        </w:rPr>
      </w:pPr>
    </w:p>
    <w:p>
      <w:pPr>
        <w:spacing w:line="360" w:lineRule="auto"/>
        <w:jc w:val="center"/>
        <w:outlineLvl w:val="0"/>
        <w:rPr>
          <w:b/>
          <w:bCs/>
          <w:sz w:val="32"/>
        </w:rPr>
      </w:pPr>
      <w:r>
        <w:rPr>
          <w:b/>
          <w:bCs/>
          <w:sz w:val="32"/>
        </w:rPr>
        <w:br w:type="page"/>
      </w:r>
      <w:bookmarkStart w:id="2" w:name="_Toc76054642"/>
      <w:r>
        <w:rPr>
          <w:rFonts w:hint="eastAsia"/>
          <w:b/>
          <w:bCs/>
          <w:sz w:val="32"/>
        </w:rPr>
        <w:t>第三章 开标程序</w:t>
      </w:r>
      <w:bookmarkEnd w:id="2"/>
    </w:p>
    <w:p>
      <w:pPr>
        <w:spacing w:line="360" w:lineRule="auto"/>
        <w:ind w:firstLine="420" w:firstLineChars="200"/>
        <w:rPr>
          <w:rFonts w:ascii="宋体" w:hAnsi="宋体" w:cs="宋体"/>
          <w:szCs w:val="21"/>
        </w:rPr>
      </w:pPr>
      <w:r>
        <w:rPr>
          <w:rFonts w:hint="eastAsia" w:ascii="宋体" w:hAnsi="宋体" w:cs="宋体"/>
          <w:szCs w:val="21"/>
        </w:rPr>
        <w:t>一、采购代理机构将按“招标公告”规定的时间和地点组织公开开标。投标人可委派代表参加，参加开标的代表应</w:t>
      </w:r>
      <w:r>
        <w:rPr>
          <w:rFonts w:hint="eastAsia" w:ascii="宋体" w:hAnsi="宋体"/>
          <w:szCs w:val="21"/>
        </w:rPr>
        <w:t>提供法人代表的授权和法人代表证明</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二、开标时，采购代理机构将当众宣读投标人名称、修改和撤回投标的通知、开标一览表（以招标文件规定的开标一览表内容为准）。投标文件中开标一览表内容与投标报价明细表内容不一致的，以开标一览表为准。</w:t>
      </w:r>
    </w:p>
    <w:p>
      <w:pPr>
        <w:spacing w:line="360" w:lineRule="auto"/>
        <w:ind w:firstLine="420" w:firstLineChars="200"/>
        <w:rPr>
          <w:rFonts w:ascii="宋体" w:hAnsi="宋体" w:cs="宋体"/>
          <w:szCs w:val="21"/>
        </w:rPr>
      </w:pPr>
      <w:r>
        <w:rPr>
          <w:rFonts w:hint="eastAsia" w:ascii="宋体" w:hAnsi="宋体" w:cs="宋体"/>
          <w:szCs w:val="21"/>
        </w:rPr>
        <w:t>三、开标时，提交了可接受的“撤回”通知的投标将不予开封，将原封退回投标人。</w:t>
      </w:r>
    </w:p>
    <w:p>
      <w:pPr>
        <w:spacing w:line="360" w:lineRule="auto"/>
        <w:ind w:firstLine="420" w:firstLineChars="200"/>
        <w:rPr>
          <w:rFonts w:ascii="宋体" w:hAnsi="宋体" w:cs="宋体"/>
          <w:szCs w:val="21"/>
        </w:rPr>
      </w:pPr>
      <w:r>
        <w:rPr>
          <w:rFonts w:hint="eastAsia" w:ascii="宋体" w:hAnsi="宋体" w:cs="宋体"/>
          <w:szCs w:val="21"/>
        </w:rPr>
        <w:t>四、采购代理机构将做开标记录，开标记录包括本章第二款规定的在开标时宣读的全部内容。</w:t>
      </w:r>
    </w:p>
    <w:p>
      <w:pPr>
        <w:spacing w:line="360" w:lineRule="auto"/>
        <w:jc w:val="center"/>
        <w:outlineLvl w:val="0"/>
        <w:rPr>
          <w:b/>
          <w:bCs/>
          <w:sz w:val="32"/>
        </w:rPr>
      </w:pPr>
      <w:r>
        <w:rPr>
          <w:rFonts w:hint="eastAsia" w:ascii="宋体" w:hAnsi="宋体" w:cs="宋体"/>
          <w:szCs w:val="21"/>
        </w:rPr>
        <w:br w:type="page"/>
      </w:r>
      <w:bookmarkStart w:id="3" w:name="_Toc76054643"/>
      <w:r>
        <w:rPr>
          <w:rFonts w:hint="eastAsia"/>
          <w:b/>
          <w:bCs/>
          <w:sz w:val="32"/>
        </w:rPr>
        <w:t>第四章 评标程序</w:t>
      </w:r>
      <w:bookmarkEnd w:id="3"/>
    </w:p>
    <w:p>
      <w:pPr>
        <w:spacing w:line="360" w:lineRule="auto"/>
        <w:ind w:firstLine="420" w:firstLineChars="200"/>
        <w:rPr>
          <w:rFonts w:ascii="宋体" w:hAnsi="宋体" w:cs="宋体"/>
          <w:szCs w:val="21"/>
        </w:rPr>
      </w:pPr>
      <w:r>
        <w:rPr>
          <w:rFonts w:hint="eastAsia" w:ascii="宋体" w:hAnsi="宋体" w:cs="宋体"/>
          <w:szCs w:val="21"/>
        </w:rPr>
        <w:t>一、依法成立评审委员会。评审委员会由前海管理局组织相关工作人员或有关专家不少于三人的单数组成，评审委员会在开标开始前一天组成。</w:t>
      </w:r>
    </w:p>
    <w:p>
      <w:pPr>
        <w:spacing w:line="360" w:lineRule="auto"/>
        <w:ind w:firstLine="420" w:firstLineChars="200"/>
        <w:rPr>
          <w:rFonts w:ascii="宋体" w:hAnsi="宋体" w:cs="宋体"/>
          <w:szCs w:val="21"/>
        </w:rPr>
      </w:pPr>
      <w:r>
        <w:rPr>
          <w:rFonts w:hint="eastAsia" w:ascii="宋体" w:hAnsi="宋体" w:cs="宋体"/>
          <w:szCs w:val="21"/>
        </w:rPr>
        <w:t>二、参加评标会议人员：投标人代表（如需）、项目负责代表、评审委员会成员、监督部门代表。</w:t>
      </w:r>
    </w:p>
    <w:p>
      <w:pPr>
        <w:spacing w:line="360" w:lineRule="auto"/>
        <w:ind w:firstLine="420" w:firstLineChars="200"/>
        <w:rPr>
          <w:rFonts w:ascii="宋体" w:hAnsi="宋体" w:cs="宋体"/>
          <w:szCs w:val="21"/>
        </w:rPr>
      </w:pPr>
      <w:r>
        <w:rPr>
          <w:rFonts w:hint="eastAsia" w:ascii="宋体" w:hAnsi="宋体" w:cs="宋体"/>
          <w:szCs w:val="21"/>
        </w:rPr>
        <w:t>三、会议主持人：开标评标会议由采购代理机构工作人员主持。</w:t>
      </w:r>
    </w:p>
    <w:p>
      <w:pPr>
        <w:spacing w:line="360" w:lineRule="auto"/>
        <w:ind w:firstLine="420" w:firstLineChars="200"/>
        <w:rPr>
          <w:rFonts w:ascii="宋体" w:hAnsi="宋体" w:cs="宋体"/>
          <w:szCs w:val="21"/>
        </w:rPr>
      </w:pPr>
      <w:r>
        <w:rPr>
          <w:rFonts w:hint="eastAsia" w:ascii="宋体" w:hAnsi="宋体" w:cs="宋体"/>
          <w:szCs w:val="21"/>
        </w:rPr>
        <w:t>四、开标时间：2021年11</w:t>
      </w:r>
      <w:r>
        <w:rPr>
          <w:rFonts w:hint="eastAsia" w:ascii="宋体" w:hAnsi="宋体" w:cs="宋体"/>
          <w:szCs w:val="21"/>
          <w:highlight w:val="yellow"/>
        </w:rPr>
        <w:t>月26日</w:t>
      </w:r>
      <w:r>
        <w:rPr>
          <w:rFonts w:hint="eastAsia" w:ascii="宋体" w:hAnsi="宋体" w:cs="宋体"/>
          <w:szCs w:val="21"/>
        </w:rPr>
        <w:t>14时30分。</w:t>
      </w:r>
    </w:p>
    <w:p>
      <w:pPr>
        <w:spacing w:line="360" w:lineRule="auto"/>
        <w:ind w:firstLine="420" w:firstLineChars="200"/>
        <w:rPr>
          <w:rFonts w:ascii="宋体" w:hAnsi="宋体" w:cs="宋体"/>
          <w:szCs w:val="21"/>
        </w:rPr>
      </w:pPr>
      <w:r>
        <w:rPr>
          <w:rFonts w:hint="eastAsia" w:ascii="宋体" w:hAnsi="宋体" w:cs="宋体"/>
          <w:szCs w:val="21"/>
        </w:rPr>
        <w:t>五、会议开始：2021年1</w:t>
      </w:r>
      <w:r>
        <w:rPr>
          <w:rFonts w:ascii="宋体" w:hAnsi="宋体" w:cs="宋体"/>
          <w:szCs w:val="21"/>
          <w:highlight w:val="yellow"/>
        </w:rPr>
        <w:t>1</w:t>
      </w:r>
      <w:r>
        <w:rPr>
          <w:rFonts w:hint="eastAsia" w:ascii="宋体" w:hAnsi="宋体" w:cs="宋体"/>
          <w:szCs w:val="21"/>
          <w:highlight w:val="yellow"/>
        </w:rPr>
        <w:t>月26日</w:t>
      </w:r>
      <w:r>
        <w:rPr>
          <w:rFonts w:hint="eastAsia" w:ascii="宋体" w:hAnsi="宋体" w:cs="宋体"/>
          <w:szCs w:val="21"/>
        </w:rPr>
        <w:t>14时30分由会议主持人宣布评标会议开始。</w:t>
      </w:r>
    </w:p>
    <w:p>
      <w:pPr>
        <w:spacing w:line="360" w:lineRule="auto"/>
        <w:ind w:firstLine="420" w:firstLineChars="200"/>
        <w:rPr>
          <w:rFonts w:ascii="宋体" w:hAnsi="宋体" w:cs="宋体"/>
          <w:szCs w:val="21"/>
        </w:rPr>
      </w:pPr>
      <w:r>
        <w:rPr>
          <w:rFonts w:hint="eastAsia" w:ascii="宋体" w:hAnsi="宋体" w:cs="宋体"/>
          <w:szCs w:val="21"/>
        </w:rPr>
        <w:t>六、由采购代理机构现场拆封投标文件，并分发给评审委员会成员。</w:t>
      </w:r>
    </w:p>
    <w:p>
      <w:pPr>
        <w:spacing w:line="360" w:lineRule="auto"/>
        <w:ind w:firstLine="420" w:firstLineChars="200"/>
        <w:rPr>
          <w:rFonts w:ascii="宋体" w:hAnsi="宋体" w:cs="宋体"/>
          <w:szCs w:val="21"/>
        </w:rPr>
      </w:pPr>
      <w:r>
        <w:rPr>
          <w:rFonts w:hint="eastAsia" w:ascii="宋体" w:hAnsi="宋体" w:cs="宋体"/>
          <w:szCs w:val="21"/>
        </w:rPr>
        <w:t>七、评审委员会审查供应商的投标文件，工作人员记录审查的情况。</w:t>
      </w:r>
    </w:p>
    <w:p>
      <w:pPr>
        <w:spacing w:line="360" w:lineRule="auto"/>
        <w:ind w:firstLine="420" w:firstLineChars="200"/>
        <w:rPr>
          <w:rFonts w:ascii="宋体" w:hAnsi="宋体" w:cs="宋体"/>
          <w:szCs w:val="21"/>
        </w:rPr>
      </w:pPr>
      <w:r>
        <w:rPr>
          <w:rFonts w:hint="eastAsia" w:ascii="宋体" w:hAnsi="宋体" w:cs="宋体"/>
          <w:szCs w:val="21"/>
        </w:rPr>
        <w:t>八、评审委员会按以下工作程序进行：</w:t>
      </w:r>
    </w:p>
    <w:p>
      <w:pPr>
        <w:spacing w:line="360" w:lineRule="auto"/>
        <w:ind w:firstLine="630" w:firstLineChars="300"/>
        <w:rPr>
          <w:rFonts w:ascii="宋体" w:hAnsi="宋体" w:cs="宋体"/>
          <w:szCs w:val="21"/>
        </w:rPr>
      </w:pPr>
      <w:r>
        <w:rPr>
          <w:rFonts w:hint="eastAsia" w:ascii="宋体" w:hAnsi="宋体" w:cs="宋体"/>
          <w:szCs w:val="21"/>
        </w:rPr>
        <w:t>1、对投标文件审查的问题向供应商提出，要求供应商作出响应，并就有关的问题作出说明。</w:t>
      </w:r>
    </w:p>
    <w:p>
      <w:pPr>
        <w:spacing w:line="360" w:lineRule="auto"/>
        <w:ind w:firstLine="630" w:firstLineChars="300"/>
        <w:rPr>
          <w:rFonts w:ascii="宋体" w:hAnsi="宋体" w:cs="宋体"/>
          <w:szCs w:val="21"/>
        </w:rPr>
      </w:pPr>
      <w:r>
        <w:rPr>
          <w:rFonts w:hint="eastAsia" w:ascii="宋体" w:hAnsi="宋体" w:cs="宋体"/>
          <w:szCs w:val="21"/>
        </w:rPr>
        <w:t>2、根据谈判的情况，确定供应商服务的标准和质量是否符合采购的要求，是否有符合采购要求的交货标准，售后服务是否达到采购要求等，由评审委员会根据谈判情况作出定标结论，注明以及符合或不符合的原因。</w:t>
      </w:r>
    </w:p>
    <w:p>
      <w:pPr>
        <w:spacing w:line="360" w:lineRule="auto"/>
        <w:ind w:firstLine="630" w:firstLineChars="300"/>
        <w:rPr>
          <w:rFonts w:ascii="宋体" w:hAnsi="宋体" w:cs="宋体"/>
          <w:szCs w:val="21"/>
        </w:rPr>
      </w:pPr>
      <w:r>
        <w:rPr>
          <w:rFonts w:hint="eastAsia" w:ascii="宋体" w:hAnsi="宋体" w:cs="宋体"/>
          <w:szCs w:val="21"/>
        </w:rPr>
        <w:t>3、对部分要求供应商作出调整的地方，通过谈判的方式要求供应商作出改进。</w:t>
      </w:r>
    </w:p>
    <w:p>
      <w:pPr>
        <w:spacing w:line="360" w:lineRule="auto"/>
        <w:ind w:firstLine="630" w:firstLineChars="300"/>
        <w:rPr>
          <w:rFonts w:ascii="宋体" w:hAnsi="宋体" w:cs="宋体"/>
          <w:szCs w:val="21"/>
        </w:rPr>
      </w:pPr>
      <w:r>
        <w:rPr>
          <w:rFonts w:hint="eastAsia" w:ascii="宋体" w:hAnsi="宋体" w:cs="宋体"/>
          <w:szCs w:val="21"/>
        </w:rPr>
        <w:t>4、评审委员会根据供应商的最后确定的方案和承诺的内容，确定符合本次采购要求的供应商。如经谈判，确定有供应商无法对招标实质性要求作出完全的响应，该供应商将被要求退出本次谈判。</w:t>
      </w:r>
    </w:p>
    <w:p>
      <w:pPr>
        <w:spacing w:line="360" w:lineRule="auto"/>
        <w:ind w:firstLine="420" w:firstLineChars="200"/>
        <w:rPr>
          <w:rFonts w:ascii="宋体" w:hAnsi="宋体" w:cs="宋体"/>
          <w:szCs w:val="21"/>
        </w:rPr>
      </w:pPr>
      <w:r>
        <w:rPr>
          <w:rFonts w:hint="eastAsia" w:ascii="宋体" w:hAnsi="宋体" w:cs="宋体"/>
          <w:szCs w:val="21"/>
        </w:rPr>
        <w:t>5.评审委员会按照本项目招标文件中规定的评标方法确定中标供应商。</w:t>
      </w:r>
    </w:p>
    <w:p>
      <w:pPr>
        <w:spacing w:line="360" w:lineRule="auto"/>
        <w:ind w:firstLine="420" w:firstLineChars="200"/>
        <w:rPr>
          <w:rFonts w:ascii="宋体" w:hAnsi="宋体" w:cs="宋体"/>
          <w:szCs w:val="21"/>
        </w:rPr>
      </w:pPr>
      <w:r>
        <w:rPr>
          <w:rFonts w:hint="eastAsia" w:ascii="宋体" w:hAnsi="宋体" w:cs="宋体"/>
          <w:szCs w:val="21"/>
        </w:rPr>
        <w:t>九、根据本次采购的结果，采购人按自</w:t>
      </w:r>
      <w:r>
        <w:rPr>
          <w:rFonts w:ascii="宋体" w:hAnsi="宋体" w:cs="宋体"/>
          <w:szCs w:val="21"/>
        </w:rPr>
        <w:t>中标通知书发出之日起</w:t>
      </w:r>
      <w:r>
        <w:rPr>
          <w:rFonts w:hint="eastAsia" w:ascii="宋体" w:hAnsi="宋体" w:cs="宋体"/>
          <w:szCs w:val="21"/>
        </w:rPr>
        <w:t>十个工作日内与中标人签订合同。</w:t>
      </w:r>
    </w:p>
    <w:p>
      <w:pPr>
        <w:spacing w:line="360" w:lineRule="auto"/>
        <w:rPr>
          <w:rFonts w:ascii="宋体" w:hAnsi="宋体" w:cs="宋体"/>
          <w:szCs w:val="21"/>
        </w:rPr>
      </w:pPr>
    </w:p>
    <w:p>
      <w:pPr>
        <w:jc w:val="left"/>
        <w:rPr>
          <w:rFonts w:ascii="宋体" w:hAnsi="宋体" w:cs="宋体"/>
          <w:szCs w:val="21"/>
        </w:rPr>
      </w:pPr>
      <w:r>
        <w:rPr>
          <w:rFonts w:hint="eastAsia" w:ascii="宋体"/>
          <w:b/>
          <w:bCs/>
          <w:sz w:val="32"/>
          <w:szCs w:val="28"/>
        </w:rPr>
        <w:br w:type="page"/>
      </w:r>
      <w:bookmarkStart w:id="4" w:name="?????"/>
      <w:bookmarkEnd w:id="4"/>
    </w:p>
    <w:p>
      <w:pPr>
        <w:jc w:val="center"/>
        <w:outlineLvl w:val="0"/>
        <w:rPr>
          <w:rFonts w:ascii="宋体"/>
          <w:b/>
          <w:bCs/>
          <w:sz w:val="32"/>
          <w:szCs w:val="28"/>
        </w:rPr>
      </w:pPr>
      <w:bookmarkStart w:id="5" w:name="_Toc76054644"/>
      <w:r>
        <w:rPr>
          <w:rFonts w:hint="eastAsia" w:ascii="宋体"/>
          <w:b/>
          <w:bCs/>
          <w:sz w:val="32"/>
          <w:szCs w:val="28"/>
        </w:rPr>
        <w:t>第五章 合 同</w:t>
      </w:r>
      <w:bookmarkEnd w:id="5"/>
    </w:p>
    <w:p>
      <w:pPr>
        <w:shd w:val="clear" w:color="auto" w:fill="FFFFFF"/>
        <w:snapToGrid w:val="0"/>
        <w:spacing w:line="500" w:lineRule="exact"/>
        <w:jc w:val="center"/>
        <w:rPr>
          <w:rFonts w:ascii="宋体" w:hAnsi="宋体" w:cs="宋体"/>
          <w:b/>
          <w:bCs/>
          <w:sz w:val="32"/>
          <w:szCs w:val="32"/>
        </w:rPr>
      </w:pPr>
      <w:r>
        <w:rPr>
          <w:rFonts w:hint="eastAsia" w:ascii="宋体" w:hAnsi="宋体" w:cs="宋体"/>
          <w:b/>
          <w:bCs/>
          <w:sz w:val="32"/>
          <w:szCs w:val="32"/>
        </w:rPr>
        <w:t>深港合作战略下的前海城市综合运营模式研究合同</w:t>
      </w:r>
    </w:p>
    <w:p>
      <w:pPr>
        <w:spacing w:line="360" w:lineRule="auto"/>
        <w:ind w:firstLine="420" w:firstLineChars="200"/>
        <w:jc w:val="center"/>
        <w:rPr>
          <w:rFonts w:ascii="宋体" w:hAnsi="宋体" w:cs="宋体"/>
          <w:szCs w:val="21"/>
        </w:rPr>
      </w:pPr>
    </w:p>
    <w:p>
      <w:pPr>
        <w:spacing w:line="360" w:lineRule="auto"/>
        <w:ind w:firstLine="420" w:firstLineChars="200"/>
        <w:jc w:val="center"/>
        <w:rPr>
          <w:rFonts w:ascii="宋体" w:hAnsi="宋体" w:cs="宋体"/>
          <w:szCs w:val="21"/>
        </w:rPr>
      </w:pPr>
      <w:r>
        <w:rPr>
          <w:rFonts w:hint="eastAsia" w:ascii="宋体" w:hAnsi="宋体" w:cs="宋体"/>
          <w:szCs w:val="21"/>
        </w:rPr>
        <w:t>（合同样本，在双方沟通达成一致时，可对非实质性内容进行优化）</w:t>
      </w:r>
    </w:p>
    <w:p>
      <w:pPr>
        <w:shd w:val="clear" w:color="auto" w:fill="FFFFFF"/>
        <w:tabs>
          <w:tab w:val="left" w:pos="180"/>
        </w:tabs>
        <w:adjustRightInd w:val="0"/>
        <w:snapToGrid w:val="0"/>
        <w:jc w:val="right"/>
        <w:rPr>
          <w:rFonts w:ascii="宋体" w:hAnsi="宋体" w:cs="宋体"/>
          <w:bCs/>
          <w:szCs w:val="21"/>
        </w:rPr>
      </w:pPr>
    </w:p>
    <w:p>
      <w:pPr>
        <w:shd w:val="clear" w:color="auto" w:fill="FFFFFF"/>
        <w:adjustRightInd w:val="0"/>
        <w:snapToGrid w:val="0"/>
        <w:spacing w:line="360" w:lineRule="auto"/>
        <w:rPr>
          <w:rFonts w:ascii="宋体" w:hAnsi="宋体" w:cs="宋体"/>
          <w:szCs w:val="21"/>
          <w:u w:val="single"/>
        </w:rPr>
      </w:pPr>
      <w:r>
        <w:rPr>
          <w:rFonts w:hint="eastAsia" w:ascii="宋体" w:hAnsi="宋体" w:cs="宋体"/>
          <w:b/>
          <w:szCs w:val="21"/>
        </w:rPr>
        <w:t>甲方：</w:t>
      </w:r>
      <w:r>
        <w:rPr>
          <w:rFonts w:hint="eastAsia" w:ascii="宋体" w:hAnsi="宋体" w:cs="宋体"/>
          <w:szCs w:val="21"/>
          <w:u w:val="single"/>
        </w:rPr>
        <w:t>深圳市前海深港现代服务业合作区管理局</w:t>
      </w:r>
    </w:p>
    <w:p>
      <w:pPr>
        <w:shd w:val="clear" w:color="auto" w:fill="FFFFFF"/>
        <w:adjustRightInd w:val="0"/>
        <w:snapToGrid w:val="0"/>
        <w:spacing w:line="360" w:lineRule="auto"/>
        <w:jc w:val="left"/>
        <w:rPr>
          <w:rFonts w:ascii="宋体" w:hAnsi="宋体" w:cs="宋体"/>
          <w:szCs w:val="21"/>
          <w:u w:val="single"/>
        </w:rPr>
      </w:pPr>
      <w:r>
        <w:rPr>
          <w:rFonts w:hint="eastAsia" w:ascii="宋体" w:hAnsi="宋体" w:cs="宋体"/>
          <w:b/>
          <w:szCs w:val="21"/>
        </w:rPr>
        <w:t>法定代表人：</w:t>
      </w:r>
      <w:r>
        <w:rPr>
          <w:rFonts w:hint="eastAsia" w:ascii="宋体" w:hAnsi="宋体" w:cs="宋体"/>
          <w:b/>
          <w:szCs w:val="21"/>
          <w:u w:val="single"/>
        </w:rPr>
        <w:t xml:space="preserve"> </w:t>
      </w:r>
      <w:r>
        <w:rPr>
          <w:rFonts w:hint="eastAsia" w:ascii="宋体" w:hAnsi="宋体" w:cs="宋体"/>
          <w:szCs w:val="21"/>
          <w:u w:val="single"/>
        </w:rPr>
        <w:t xml:space="preserve">     </w:t>
      </w:r>
      <w:r>
        <w:rPr>
          <w:rFonts w:hint="eastAsia" w:ascii="宋体" w:hAnsi="宋体" w:cs="宋体"/>
          <w:b/>
          <w:szCs w:val="21"/>
          <w:u w:val="single"/>
        </w:rPr>
        <w:t xml:space="preserve">   </w:t>
      </w:r>
    </w:p>
    <w:p>
      <w:pPr>
        <w:shd w:val="clear" w:color="auto" w:fill="FFFFFF"/>
        <w:adjustRightInd w:val="0"/>
        <w:snapToGrid w:val="0"/>
        <w:spacing w:line="360" w:lineRule="auto"/>
        <w:jc w:val="left"/>
        <w:rPr>
          <w:rFonts w:ascii="宋体" w:hAnsi="宋体" w:cs="宋体"/>
          <w:szCs w:val="21"/>
          <w:u w:val="single"/>
        </w:rPr>
      </w:pPr>
      <w:r>
        <w:rPr>
          <w:rFonts w:hint="eastAsia" w:ascii="宋体" w:hAnsi="宋体" w:cs="宋体"/>
          <w:b/>
          <w:szCs w:val="21"/>
        </w:rPr>
        <w:t>地址：</w:t>
      </w:r>
      <w:r>
        <w:rPr>
          <w:rFonts w:hint="eastAsia" w:ascii="宋体" w:hAnsi="宋体" w:cs="宋体"/>
          <w:szCs w:val="21"/>
          <w:u w:val="single"/>
        </w:rPr>
        <w:t>深圳市前海深港合作区前湾一路23号前海管理局综合办公楼</w:t>
      </w:r>
    </w:p>
    <w:p>
      <w:pPr>
        <w:shd w:val="clear" w:color="auto" w:fill="FFFFFF"/>
        <w:adjustRightInd w:val="0"/>
        <w:snapToGrid w:val="0"/>
        <w:spacing w:line="360" w:lineRule="auto"/>
        <w:jc w:val="left"/>
        <w:rPr>
          <w:rFonts w:ascii="宋体" w:hAnsi="宋体" w:cs="宋体"/>
          <w:szCs w:val="21"/>
          <w:u w:val="single"/>
        </w:rPr>
      </w:pPr>
    </w:p>
    <w:p>
      <w:pPr>
        <w:shd w:val="clear" w:color="auto" w:fill="FFFFFF"/>
        <w:adjustRightInd w:val="0"/>
        <w:snapToGrid w:val="0"/>
        <w:spacing w:line="360" w:lineRule="auto"/>
        <w:jc w:val="left"/>
        <w:rPr>
          <w:rFonts w:ascii="宋体" w:hAnsi="宋体" w:cs="宋体"/>
          <w:b/>
          <w:szCs w:val="21"/>
          <w:u w:val="single"/>
        </w:rPr>
      </w:pPr>
      <w:r>
        <w:rPr>
          <w:rFonts w:hint="eastAsia" w:ascii="宋体" w:hAnsi="宋体" w:cs="宋体"/>
          <w:b/>
          <w:szCs w:val="21"/>
        </w:rPr>
        <w:t>乙方：</w:t>
      </w:r>
    </w:p>
    <w:p>
      <w:pPr>
        <w:shd w:val="clear" w:color="auto" w:fill="FFFFFF"/>
        <w:adjustRightInd w:val="0"/>
        <w:snapToGrid w:val="0"/>
        <w:spacing w:line="360" w:lineRule="auto"/>
        <w:jc w:val="left"/>
        <w:rPr>
          <w:rFonts w:ascii="宋体" w:hAnsi="宋体" w:cs="宋体"/>
          <w:b/>
          <w:szCs w:val="21"/>
        </w:rPr>
      </w:pPr>
      <w:r>
        <w:rPr>
          <w:rFonts w:hint="eastAsia" w:ascii="宋体" w:hAnsi="宋体" w:cs="宋体"/>
          <w:b/>
          <w:szCs w:val="21"/>
        </w:rPr>
        <w:t>法定代表人：</w:t>
      </w:r>
    </w:p>
    <w:p>
      <w:pPr>
        <w:shd w:val="clear" w:color="auto" w:fill="FFFFFF"/>
        <w:adjustRightInd w:val="0"/>
        <w:snapToGrid w:val="0"/>
        <w:spacing w:line="360" w:lineRule="auto"/>
        <w:jc w:val="left"/>
        <w:rPr>
          <w:rFonts w:ascii="宋体" w:hAnsi="宋体" w:cs="宋体"/>
          <w:b/>
          <w:szCs w:val="21"/>
        </w:rPr>
      </w:pPr>
      <w:r>
        <w:rPr>
          <w:rFonts w:hint="eastAsia" w:ascii="宋体" w:hAnsi="宋体" w:cs="宋体"/>
          <w:b/>
          <w:szCs w:val="21"/>
        </w:rPr>
        <w:t>地址：</w:t>
      </w:r>
    </w:p>
    <w:p>
      <w:pPr>
        <w:shd w:val="clear" w:color="auto" w:fill="FFFFFF"/>
        <w:adjustRightInd w:val="0"/>
        <w:snapToGrid w:val="0"/>
        <w:spacing w:line="360" w:lineRule="auto"/>
        <w:ind w:firstLine="480"/>
        <w:rPr>
          <w:rFonts w:ascii="宋体" w:hAnsi="宋体" w:cs="宋体"/>
          <w:szCs w:val="21"/>
        </w:rPr>
      </w:pPr>
    </w:p>
    <w:p>
      <w:pPr>
        <w:spacing w:line="360" w:lineRule="auto"/>
        <w:rPr>
          <w:rFonts w:ascii="宋体" w:hAnsi="宋体" w:cs="宋体"/>
          <w:szCs w:val="21"/>
        </w:rPr>
      </w:pPr>
      <w:r>
        <w:rPr>
          <w:rFonts w:hint="eastAsia" w:ascii="宋体" w:hAnsi="宋体" w:cs="宋体"/>
          <w:szCs w:val="21"/>
        </w:rPr>
        <w:t>依照《中华人民共和国民法典》等法律、法规的相关规定以及编号为</w:t>
      </w:r>
      <w:r>
        <w:rPr>
          <w:rFonts w:hint="eastAsia" w:ascii="宋体" w:hAnsi="宋体" w:cs="宋体"/>
        </w:rPr>
        <w:t>QH2021058</w:t>
      </w:r>
      <w:r>
        <w:rPr>
          <w:rFonts w:hint="eastAsia" w:ascii="宋体" w:hAnsi="宋体" w:cs="宋体"/>
          <w:szCs w:val="21"/>
        </w:rPr>
        <w:t>的招标文件等有关内容，就甲方委托乙方承担</w:t>
      </w:r>
      <w:r>
        <w:rPr>
          <w:rFonts w:hint="eastAsia"/>
          <w:szCs w:val="21"/>
          <w:u w:val="single"/>
        </w:rPr>
        <w:t>深港合作战略下的前海城市综合运营模式研究</w:t>
      </w:r>
      <w:r>
        <w:rPr>
          <w:rFonts w:hint="eastAsia" w:ascii="宋体" w:hAnsi="宋体" w:cs="宋体"/>
          <w:szCs w:val="21"/>
        </w:rPr>
        <w:t>项目（以下称为“本项目”）工作事宜，</w:t>
      </w:r>
      <w:bookmarkStart w:id="6" w:name="OLE_LINK32"/>
      <w:bookmarkStart w:id="7" w:name="OLE_LINK31"/>
      <w:r>
        <w:rPr>
          <w:rFonts w:hint="eastAsia" w:ascii="宋体" w:hAnsi="宋体" w:cs="宋体"/>
          <w:szCs w:val="21"/>
        </w:rPr>
        <w:t>双方经协商达成一致，</w:t>
      </w:r>
      <w:bookmarkEnd w:id="6"/>
      <w:bookmarkEnd w:id="7"/>
      <w:r>
        <w:rPr>
          <w:rFonts w:hint="eastAsia" w:ascii="宋体" w:hAnsi="宋体" w:cs="宋体"/>
          <w:szCs w:val="21"/>
        </w:rPr>
        <w:t>约定如下：</w:t>
      </w:r>
    </w:p>
    <w:p>
      <w:pPr>
        <w:widowControl/>
        <w:spacing w:line="360" w:lineRule="auto"/>
        <w:ind w:firstLine="420" w:firstLineChars="200"/>
        <w:rPr>
          <w:rFonts w:ascii="宋体" w:hAnsi="宋体" w:cs="宋体"/>
          <w:szCs w:val="21"/>
        </w:rPr>
      </w:pPr>
      <w:r>
        <w:rPr>
          <w:rFonts w:hint="eastAsia" w:ascii="宋体" w:hAnsi="宋体" w:cs="宋体"/>
          <w:szCs w:val="21"/>
        </w:rPr>
        <w:t>一、主要工作内容</w:t>
      </w:r>
    </w:p>
    <w:p>
      <w:pPr>
        <w:pStyle w:val="17"/>
        <w:spacing w:before="0" w:beforeAutospacing="0" w:after="0" w:afterAutospacing="0" w:line="360" w:lineRule="auto"/>
        <w:ind w:firstLine="420" w:firstLineChars="200"/>
        <w:rPr>
          <w:bCs/>
          <w:sz w:val="21"/>
          <w:szCs w:val="21"/>
        </w:rPr>
      </w:pPr>
      <w:r>
        <w:rPr>
          <w:rFonts w:hint="eastAsia"/>
          <w:kern w:val="2"/>
          <w:sz w:val="21"/>
          <w:szCs w:val="21"/>
        </w:rPr>
        <w:t>（一）前海</w:t>
      </w:r>
      <w:r>
        <w:rPr>
          <w:rFonts w:hint="eastAsia"/>
          <w:sz w:val="21"/>
          <w:szCs w:val="21"/>
        </w:rPr>
        <w:t>及国内外重点城市调查、城市运营的政策梳理和分析</w:t>
      </w:r>
    </w:p>
    <w:p>
      <w:pPr>
        <w:pStyle w:val="17"/>
        <w:spacing w:before="0" w:beforeAutospacing="0" w:after="0" w:afterAutospacing="0" w:line="360" w:lineRule="auto"/>
        <w:ind w:firstLine="420" w:firstLineChars="200"/>
        <w:rPr>
          <w:bCs/>
          <w:sz w:val="21"/>
          <w:szCs w:val="21"/>
        </w:rPr>
      </w:pPr>
      <w:r>
        <w:rPr>
          <w:bCs/>
          <w:sz w:val="21"/>
          <w:szCs w:val="21"/>
        </w:rPr>
        <w:t>针对香港</w:t>
      </w:r>
      <w:r>
        <w:rPr>
          <w:rFonts w:hint="eastAsia"/>
          <w:bCs/>
          <w:sz w:val="21"/>
          <w:szCs w:val="21"/>
        </w:rPr>
        <w:t>、北京、上海、</w:t>
      </w:r>
      <w:r>
        <w:rPr>
          <w:bCs/>
          <w:sz w:val="21"/>
          <w:szCs w:val="21"/>
        </w:rPr>
        <w:t>新加坡</w:t>
      </w:r>
      <w:r>
        <w:rPr>
          <w:rFonts w:hint="eastAsia"/>
          <w:bCs/>
          <w:sz w:val="21"/>
          <w:szCs w:val="21"/>
        </w:rPr>
        <w:t>、</w:t>
      </w:r>
      <w:r>
        <w:rPr>
          <w:bCs/>
          <w:sz w:val="21"/>
          <w:szCs w:val="21"/>
        </w:rPr>
        <w:t>美国拉斯维加斯等国</w:t>
      </w:r>
      <w:r>
        <w:rPr>
          <w:rFonts w:hint="eastAsia"/>
          <w:bCs/>
          <w:sz w:val="21"/>
          <w:szCs w:val="21"/>
        </w:rPr>
        <w:t>内</w:t>
      </w:r>
      <w:r>
        <w:rPr>
          <w:bCs/>
          <w:sz w:val="21"/>
          <w:szCs w:val="21"/>
        </w:rPr>
        <w:t>外先进地区的城市运营经验进行详细梳理</w:t>
      </w:r>
      <w:r>
        <w:rPr>
          <w:rFonts w:hint="eastAsia"/>
          <w:bCs/>
          <w:sz w:val="21"/>
          <w:szCs w:val="21"/>
        </w:rPr>
        <w:t>，</w:t>
      </w:r>
      <w:r>
        <w:rPr>
          <w:bCs/>
          <w:sz w:val="21"/>
          <w:szCs w:val="21"/>
        </w:rPr>
        <w:t>结合</w:t>
      </w:r>
      <w:r>
        <w:rPr>
          <w:rFonts w:hint="eastAsia"/>
          <w:bCs/>
          <w:sz w:val="21"/>
          <w:szCs w:val="21"/>
        </w:rPr>
        <w:t>各地</w:t>
      </w:r>
      <w:r>
        <w:rPr>
          <w:bCs/>
          <w:sz w:val="21"/>
          <w:szCs w:val="21"/>
        </w:rPr>
        <w:t>城市运营经验</w:t>
      </w:r>
      <w:r>
        <w:rPr>
          <w:rFonts w:hint="eastAsia"/>
          <w:bCs/>
          <w:sz w:val="21"/>
          <w:szCs w:val="21"/>
        </w:rPr>
        <w:t>，总结分析前海在城市发展新阶段将会呈现城市运营系统化特征，以及国内外成功经验带来的启示借鉴。</w:t>
      </w:r>
    </w:p>
    <w:p>
      <w:pPr>
        <w:widowControl/>
        <w:spacing w:line="360" w:lineRule="auto"/>
        <w:ind w:firstLine="420" w:firstLineChars="200"/>
        <w:rPr>
          <w:rFonts w:ascii="宋体" w:hAnsi="宋体" w:cs="宋体"/>
          <w:szCs w:val="21"/>
        </w:rPr>
      </w:pPr>
      <w:r>
        <w:rPr>
          <w:rFonts w:hint="eastAsia" w:ascii="宋体" w:hAnsi="宋体" w:cs="宋体"/>
          <w:szCs w:val="21"/>
        </w:rPr>
        <w:t>（二）前海开发建设运营核心症结及影响要素研判</w:t>
      </w:r>
    </w:p>
    <w:p>
      <w:pPr>
        <w:widowControl/>
        <w:spacing w:line="360" w:lineRule="auto"/>
        <w:ind w:firstLine="420" w:firstLineChars="200"/>
        <w:rPr>
          <w:rFonts w:ascii="宋体" w:hAnsi="宋体" w:cs="宋体"/>
          <w:szCs w:val="21"/>
        </w:rPr>
      </w:pPr>
      <w:r>
        <w:rPr>
          <w:rFonts w:ascii="宋体" w:hAnsi="宋体" w:cs="宋体"/>
          <w:szCs w:val="21"/>
        </w:rPr>
        <w:t>前海现状症结研判</w:t>
      </w:r>
      <w:r>
        <w:rPr>
          <w:rFonts w:hint="eastAsia" w:ascii="宋体" w:hAnsi="宋体" w:cs="宋体"/>
          <w:szCs w:val="21"/>
        </w:rPr>
        <w:t>：</w:t>
      </w:r>
      <w:r>
        <w:rPr>
          <w:rFonts w:ascii="宋体" w:hAnsi="宋体" w:cs="宋体"/>
          <w:szCs w:val="21"/>
        </w:rPr>
        <w:t>通过实地调研访谈和资料收集</w:t>
      </w:r>
      <w:r>
        <w:rPr>
          <w:rFonts w:hint="eastAsia" w:ascii="宋体" w:hAnsi="宋体" w:cs="宋体"/>
          <w:szCs w:val="21"/>
        </w:rPr>
        <w:t>，总结</w:t>
      </w:r>
      <w:r>
        <w:rPr>
          <w:rFonts w:ascii="宋体" w:hAnsi="宋体" w:cs="宋体"/>
          <w:szCs w:val="21"/>
        </w:rPr>
        <w:t>分析前海合作区的土地供应方式</w:t>
      </w:r>
      <w:r>
        <w:rPr>
          <w:rFonts w:hint="eastAsia" w:ascii="宋体" w:hAnsi="宋体" w:cs="宋体"/>
          <w:szCs w:val="21"/>
        </w:rPr>
        <w:t>，</w:t>
      </w:r>
      <w:r>
        <w:rPr>
          <w:rFonts w:ascii="宋体" w:hAnsi="宋体" w:cs="宋体"/>
          <w:szCs w:val="21"/>
        </w:rPr>
        <w:t>单元开发模式</w:t>
      </w:r>
      <w:r>
        <w:rPr>
          <w:rFonts w:hint="eastAsia" w:ascii="宋体" w:hAnsi="宋体" w:cs="宋体"/>
          <w:szCs w:val="21"/>
        </w:rPr>
        <w:t>，</w:t>
      </w:r>
      <w:r>
        <w:rPr>
          <w:rFonts w:ascii="宋体" w:hAnsi="宋体" w:cs="宋体"/>
          <w:szCs w:val="21"/>
        </w:rPr>
        <w:t>城市地下空间开发模式</w:t>
      </w:r>
      <w:r>
        <w:rPr>
          <w:rFonts w:hint="eastAsia" w:ascii="宋体" w:hAnsi="宋体" w:cs="宋体"/>
          <w:szCs w:val="21"/>
        </w:rPr>
        <w:t>、</w:t>
      </w:r>
      <w:r>
        <w:rPr>
          <w:rFonts w:ascii="宋体" w:hAnsi="宋体" w:cs="宋体"/>
          <w:szCs w:val="21"/>
        </w:rPr>
        <w:t>城市慢行系统</w:t>
      </w:r>
      <w:r>
        <w:rPr>
          <w:rFonts w:hint="eastAsia" w:ascii="宋体" w:hAnsi="宋体" w:cs="宋体"/>
          <w:szCs w:val="21"/>
        </w:rPr>
        <w:t>、</w:t>
      </w:r>
      <w:r>
        <w:rPr>
          <w:rFonts w:ascii="宋体" w:hAnsi="宋体" w:cs="宋体"/>
          <w:szCs w:val="21"/>
        </w:rPr>
        <w:t>生态系统建设</w:t>
      </w:r>
      <w:r>
        <w:rPr>
          <w:rFonts w:hint="eastAsia" w:ascii="宋体" w:hAnsi="宋体" w:cs="宋体"/>
          <w:szCs w:val="21"/>
        </w:rPr>
        <w:t>，</w:t>
      </w:r>
      <w:r>
        <w:rPr>
          <w:rFonts w:ascii="宋体" w:hAnsi="宋体" w:cs="宋体"/>
          <w:szCs w:val="21"/>
        </w:rPr>
        <w:t>以及停车场</w:t>
      </w:r>
      <w:r>
        <w:rPr>
          <w:rFonts w:hint="eastAsia" w:ascii="宋体" w:hAnsi="宋体" w:cs="宋体"/>
          <w:szCs w:val="21"/>
        </w:rPr>
        <w:t>等公共服务设施配套建设的现状城市开发建设思路、存在问题与未来城市运营核心诉求。</w:t>
      </w:r>
    </w:p>
    <w:p>
      <w:pPr>
        <w:widowControl/>
        <w:spacing w:line="360" w:lineRule="auto"/>
        <w:ind w:firstLine="420" w:firstLineChars="200"/>
        <w:rPr>
          <w:rFonts w:ascii="宋体" w:hAnsi="宋体" w:cs="宋体"/>
          <w:szCs w:val="21"/>
        </w:rPr>
      </w:pPr>
      <w:r>
        <w:rPr>
          <w:rFonts w:hint="eastAsia" w:ascii="宋体" w:hAnsi="宋体" w:cs="宋体"/>
          <w:szCs w:val="21"/>
        </w:rPr>
        <w:t>关键影响要素分析：</w:t>
      </w:r>
      <w:r>
        <w:rPr>
          <w:rFonts w:ascii="宋体" w:hAnsi="宋体" w:cs="宋体"/>
          <w:szCs w:val="21"/>
        </w:rPr>
        <w:t>结合先进地区的城市运营经验</w:t>
      </w:r>
      <w:r>
        <w:rPr>
          <w:rFonts w:hint="eastAsia" w:ascii="宋体" w:hAnsi="宋体" w:cs="宋体"/>
          <w:szCs w:val="21"/>
        </w:rPr>
        <w:t>，</w:t>
      </w:r>
      <w:r>
        <w:rPr>
          <w:rFonts w:ascii="宋体" w:hAnsi="宋体" w:cs="宋体"/>
          <w:szCs w:val="21"/>
        </w:rPr>
        <w:t>以及前海合作区自身城市开发建设运营需求</w:t>
      </w:r>
      <w:r>
        <w:rPr>
          <w:rFonts w:hint="eastAsia" w:ascii="宋体" w:hAnsi="宋体" w:cs="宋体"/>
          <w:szCs w:val="21"/>
        </w:rPr>
        <w:t>，</w:t>
      </w:r>
      <w:r>
        <w:rPr>
          <w:rFonts w:ascii="宋体" w:hAnsi="宋体" w:cs="宋体"/>
          <w:szCs w:val="21"/>
        </w:rPr>
        <w:t>围绕运营主体</w:t>
      </w:r>
      <w:r>
        <w:rPr>
          <w:rFonts w:hint="eastAsia" w:ascii="宋体" w:hAnsi="宋体" w:cs="宋体"/>
          <w:szCs w:val="21"/>
        </w:rPr>
        <w:t>、</w:t>
      </w:r>
      <w:r>
        <w:rPr>
          <w:rFonts w:ascii="宋体" w:hAnsi="宋体" w:cs="宋体"/>
          <w:szCs w:val="21"/>
        </w:rPr>
        <w:t>运营内容</w:t>
      </w:r>
      <w:r>
        <w:rPr>
          <w:rFonts w:hint="eastAsia" w:ascii="宋体" w:hAnsi="宋体" w:cs="宋体"/>
          <w:szCs w:val="21"/>
        </w:rPr>
        <w:t>、</w:t>
      </w:r>
      <w:r>
        <w:rPr>
          <w:rFonts w:ascii="宋体" w:hAnsi="宋体" w:cs="宋体"/>
          <w:szCs w:val="21"/>
        </w:rPr>
        <w:t>运营模式等方面</w:t>
      </w:r>
      <w:r>
        <w:rPr>
          <w:rFonts w:hint="eastAsia" w:ascii="宋体" w:hAnsi="宋体" w:cs="宋体"/>
          <w:szCs w:val="21"/>
        </w:rPr>
        <w:t>，</w:t>
      </w:r>
      <w:r>
        <w:rPr>
          <w:rFonts w:ascii="宋体" w:hAnsi="宋体" w:cs="宋体"/>
          <w:szCs w:val="21"/>
        </w:rPr>
        <w:t>结合TOD开发</w:t>
      </w:r>
      <w:r>
        <w:rPr>
          <w:rFonts w:hint="eastAsia" w:ascii="宋体" w:hAnsi="宋体" w:cs="宋体"/>
          <w:szCs w:val="21"/>
        </w:rPr>
        <w:t>、</w:t>
      </w:r>
      <w:r>
        <w:rPr>
          <w:rFonts w:ascii="宋体" w:hAnsi="宋体" w:cs="宋体"/>
          <w:szCs w:val="21"/>
        </w:rPr>
        <w:t>BOT开发等城市开发运营理论</w:t>
      </w:r>
      <w:r>
        <w:rPr>
          <w:rFonts w:hint="eastAsia" w:ascii="宋体" w:hAnsi="宋体" w:cs="宋体"/>
          <w:szCs w:val="21"/>
        </w:rPr>
        <w:t>，</w:t>
      </w:r>
      <w:r>
        <w:rPr>
          <w:rFonts w:ascii="宋体" w:hAnsi="宋体" w:cs="宋体"/>
          <w:szCs w:val="21"/>
        </w:rPr>
        <w:t>提出针对前海合作区城市开发建设运营的关键影响要素及优化思路</w:t>
      </w:r>
      <w:r>
        <w:rPr>
          <w:rFonts w:hint="eastAsia" w:ascii="宋体" w:hAnsi="宋体" w:cs="宋体"/>
          <w:szCs w:val="21"/>
        </w:rPr>
        <w:t>。</w:t>
      </w:r>
    </w:p>
    <w:p>
      <w:pPr>
        <w:widowControl/>
        <w:spacing w:line="360" w:lineRule="auto"/>
        <w:ind w:firstLine="420" w:firstLineChars="200"/>
        <w:rPr>
          <w:rFonts w:ascii="宋体" w:hAnsi="宋体" w:cs="宋体"/>
          <w:szCs w:val="21"/>
        </w:rPr>
      </w:pPr>
      <w:r>
        <w:rPr>
          <w:rFonts w:hint="eastAsia" w:ascii="宋体" w:hAnsi="宋体" w:cs="宋体"/>
          <w:szCs w:val="21"/>
        </w:rPr>
        <w:t>（三）前海复合型“城市运营商”核心理念研究</w:t>
      </w:r>
    </w:p>
    <w:p>
      <w:pPr>
        <w:widowControl/>
        <w:spacing w:line="360" w:lineRule="auto"/>
        <w:ind w:firstLine="420" w:firstLineChars="200"/>
        <w:rPr>
          <w:rFonts w:ascii="宋体" w:hAnsi="宋体" w:cs="宋体"/>
          <w:szCs w:val="21"/>
        </w:rPr>
      </w:pPr>
      <w:r>
        <w:rPr>
          <w:rFonts w:hint="eastAsia" w:ascii="宋体" w:hAnsi="宋体" w:cs="宋体"/>
          <w:szCs w:val="21"/>
        </w:rPr>
        <w:t>借鉴香港及</w:t>
      </w:r>
      <w:r>
        <w:rPr>
          <w:rFonts w:ascii="宋体" w:hAnsi="宋体" w:cs="宋体"/>
          <w:szCs w:val="21"/>
        </w:rPr>
        <w:t>国内外</w:t>
      </w:r>
      <w:r>
        <w:rPr>
          <w:rFonts w:hint="eastAsia" w:ascii="宋体" w:hAnsi="宋体" w:cs="宋体"/>
          <w:szCs w:val="21"/>
        </w:rPr>
        <w:t>其他地区</w:t>
      </w:r>
      <w:r>
        <w:rPr>
          <w:rFonts w:ascii="宋体" w:hAnsi="宋体" w:cs="宋体"/>
          <w:szCs w:val="21"/>
        </w:rPr>
        <w:t>先进经验</w:t>
      </w:r>
      <w:r>
        <w:rPr>
          <w:rFonts w:hint="eastAsia" w:ascii="宋体" w:hAnsi="宋体" w:cs="宋体"/>
          <w:szCs w:val="21"/>
        </w:rPr>
        <w:t>、</w:t>
      </w:r>
      <w:r>
        <w:rPr>
          <w:rFonts w:ascii="宋体" w:hAnsi="宋体" w:cs="宋体"/>
          <w:szCs w:val="21"/>
        </w:rPr>
        <w:t>以及前海城市运营自身发展诉求和影响要素</w:t>
      </w:r>
      <w:r>
        <w:rPr>
          <w:rFonts w:hint="eastAsia" w:ascii="宋体" w:hAnsi="宋体" w:cs="宋体"/>
          <w:szCs w:val="21"/>
        </w:rPr>
        <w:t>，</w:t>
      </w:r>
      <w:r>
        <w:rPr>
          <w:rFonts w:ascii="宋体" w:hAnsi="宋体" w:cs="宋体"/>
          <w:szCs w:val="21"/>
        </w:rPr>
        <w:t>提出针对高密度特大城市核心区的复合型</w:t>
      </w:r>
      <w:r>
        <w:rPr>
          <w:rFonts w:hint="eastAsia" w:ascii="宋体" w:hAnsi="宋体" w:cs="宋体"/>
          <w:szCs w:val="21"/>
        </w:rPr>
        <w:t>”城市运营商”模式，创新构建前海合作区在新阶段城市系统化网络化运营理念。</w:t>
      </w:r>
    </w:p>
    <w:p>
      <w:pPr>
        <w:widowControl/>
        <w:spacing w:line="360" w:lineRule="auto"/>
        <w:ind w:firstLine="420" w:firstLineChars="200"/>
        <w:rPr>
          <w:rFonts w:ascii="宋体" w:hAnsi="宋体" w:cs="宋体"/>
          <w:szCs w:val="21"/>
        </w:rPr>
      </w:pPr>
      <w:r>
        <w:rPr>
          <w:rFonts w:hint="eastAsia" w:ascii="宋体" w:hAnsi="宋体" w:cs="宋体"/>
          <w:szCs w:val="21"/>
        </w:rPr>
        <w:t>（四）前海复合型“城市运营商”模式研究</w:t>
      </w:r>
    </w:p>
    <w:p>
      <w:pPr>
        <w:widowControl/>
        <w:spacing w:line="360" w:lineRule="auto"/>
        <w:ind w:firstLine="420" w:firstLineChars="200"/>
        <w:rPr>
          <w:rFonts w:ascii="宋体" w:hAnsi="宋体" w:cs="宋体"/>
          <w:szCs w:val="21"/>
        </w:rPr>
      </w:pPr>
      <w:r>
        <w:rPr>
          <w:rFonts w:ascii="宋体" w:hAnsi="宋体" w:cs="宋体"/>
          <w:szCs w:val="21"/>
        </w:rPr>
        <w:t>运营主体协调方式研究</w:t>
      </w:r>
      <w:r>
        <w:rPr>
          <w:rFonts w:hint="eastAsia" w:ascii="宋体" w:hAnsi="宋体" w:cs="宋体"/>
          <w:szCs w:val="21"/>
        </w:rPr>
        <w:t>：</w:t>
      </w:r>
      <w:r>
        <w:rPr>
          <w:rFonts w:ascii="宋体" w:hAnsi="宋体" w:cs="宋体"/>
          <w:szCs w:val="21"/>
        </w:rPr>
        <w:t>结合前海合作区现有的政府各相关部门工作职能</w:t>
      </w:r>
      <w:r>
        <w:rPr>
          <w:rFonts w:hint="eastAsia" w:ascii="宋体" w:hAnsi="宋体" w:cs="宋体"/>
          <w:szCs w:val="21"/>
        </w:rPr>
        <w:t>，</w:t>
      </w:r>
      <w:r>
        <w:rPr>
          <w:rFonts w:ascii="宋体" w:hAnsi="宋体" w:cs="宋体"/>
          <w:szCs w:val="21"/>
        </w:rPr>
        <w:t>理顺新型</w:t>
      </w:r>
      <w:r>
        <w:rPr>
          <w:rFonts w:hint="eastAsia" w:ascii="宋体" w:hAnsi="宋体" w:cs="宋体"/>
          <w:szCs w:val="21"/>
        </w:rPr>
        <w:t>”城市运营商”模式中各部门工作要点及衔接机制。同时结合深圳现有的市场主体参与成片开发建设运营的实施路径，提出该模式下开发商与产业主体等市场主体的职能转换与调控思路。</w:t>
      </w:r>
    </w:p>
    <w:p>
      <w:pPr>
        <w:widowControl/>
        <w:spacing w:line="360" w:lineRule="auto"/>
        <w:ind w:firstLine="420" w:firstLineChars="200"/>
        <w:rPr>
          <w:rFonts w:ascii="宋体" w:hAnsi="宋体" w:cs="宋体"/>
          <w:szCs w:val="21"/>
        </w:rPr>
      </w:pPr>
      <w:r>
        <w:rPr>
          <w:rFonts w:ascii="宋体" w:hAnsi="宋体" w:cs="宋体"/>
          <w:szCs w:val="21"/>
        </w:rPr>
        <w:t>运营核心内容及衔接关系研究</w:t>
      </w:r>
      <w:r>
        <w:rPr>
          <w:rFonts w:hint="eastAsia" w:ascii="宋体" w:hAnsi="宋体" w:cs="宋体"/>
          <w:szCs w:val="21"/>
        </w:rPr>
        <w:t>：结合前海单元开发、立体化开发、带方案出让等已有的创新特点，构建基于前海未来发展的城市运营网络，研判该网络中的核心内容和影响要素，以及各要素之间的相互作用，提出前海“城市运营商”模式研究的重点。</w:t>
      </w:r>
    </w:p>
    <w:p>
      <w:pPr>
        <w:widowControl/>
        <w:spacing w:line="360" w:lineRule="auto"/>
        <w:ind w:firstLine="420" w:firstLineChars="200"/>
        <w:rPr>
          <w:rFonts w:ascii="宋体" w:hAnsi="宋体" w:cs="宋体"/>
          <w:szCs w:val="21"/>
        </w:rPr>
      </w:pPr>
      <w:r>
        <w:rPr>
          <w:rFonts w:ascii="宋体" w:hAnsi="宋体" w:cs="宋体"/>
          <w:szCs w:val="21"/>
        </w:rPr>
        <w:t>基于</w:t>
      </w:r>
      <w:r>
        <w:rPr>
          <w:rFonts w:hint="eastAsia" w:ascii="宋体" w:hAnsi="宋体" w:cs="宋体"/>
          <w:szCs w:val="21"/>
        </w:rPr>
        <w:t>不同</w:t>
      </w:r>
      <w:r>
        <w:rPr>
          <w:rFonts w:ascii="宋体" w:hAnsi="宋体" w:cs="宋体"/>
          <w:szCs w:val="21"/>
        </w:rPr>
        <w:t>情形的运营模式选择与优化研判</w:t>
      </w:r>
      <w:r>
        <w:rPr>
          <w:rFonts w:hint="eastAsia" w:ascii="宋体" w:hAnsi="宋体" w:cs="宋体"/>
          <w:szCs w:val="21"/>
        </w:rPr>
        <w:t>：根据前海不同阶段发展诉求和特征，提出逐渐从“政府</w:t>
      </w:r>
      <w:r>
        <w:rPr>
          <w:rFonts w:ascii="宋体" w:hAnsi="宋体" w:cs="宋体"/>
          <w:szCs w:val="21"/>
        </w:rPr>
        <w:t>+全资国企”模式，再发展到由国企主导模式，再到“政府+社会企业”合作模式探讨，最后构建系统化复合型的城市片区开发运营模式。</w:t>
      </w:r>
    </w:p>
    <w:p>
      <w:pPr>
        <w:widowControl/>
        <w:spacing w:line="360" w:lineRule="auto"/>
        <w:ind w:firstLine="420" w:firstLineChars="200"/>
        <w:rPr>
          <w:rFonts w:ascii="宋体" w:hAnsi="宋体" w:cs="宋体"/>
          <w:szCs w:val="21"/>
        </w:rPr>
      </w:pPr>
      <w:r>
        <w:rPr>
          <w:rFonts w:hint="eastAsia" w:ascii="宋体" w:hAnsi="宋体" w:cs="宋体"/>
          <w:szCs w:val="21"/>
        </w:rPr>
        <w:t>（五）前海“城市运营商”开发建设运营政策建议</w:t>
      </w:r>
    </w:p>
    <w:p>
      <w:pPr>
        <w:widowControl/>
        <w:spacing w:line="360" w:lineRule="auto"/>
        <w:ind w:firstLine="420" w:firstLineChars="200"/>
        <w:rPr>
          <w:rFonts w:ascii="宋体" w:hAnsi="宋体" w:cs="宋体"/>
          <w:szCs w:val="21"/>
        </w:rPr>
      </w:pPr>
      <w:r>
        <w:rPr>
          <w:rFonts w:ascii="宋体" w:hAnsi="宋体" w:cs="宋体"/>
          <w:szCs w:val="21"/>
        </w:rPr>
        <w:t>前海政策基础研究</w:t>
      </w:r>
      <w:r>
        <w:rPr>
          <w:rFonts w:hint="eastAsia" w:ascii="宋体" w:hAnsi="宋体" w:cs="宋体"/>
          <w:szCs w:val="21"/>
        </w:rPr>
        <w:t>：</w:t>
      </w:r>
      <w:r>
        <w:rPr>
          <w:rFonts w:ascii="宋体" w:hAnsi="宋体" w:cs="宋体"/>
          <w:szCs w:val="21"/>
        </w:rPr>
        <w:t>结合前海现有的政策环境与政策基础</w:t>
      </w:r>
      <w:r>
        <w:rPr>
          <w:rFonts w:hint="eastAsia" w:ascii="宋体" w:hAnsi="宋体" w:cs="宋体"/>
          <w:szCs w:val="21"/>
        </w:rPr>
        <w:t>，</w:t>
      </w:r>
      <w:r>
        <w:rPr>
          <w:rFonts w:ascii="宋体" w:hAnsi="宋体" w:cs="宋体"/>
          <w:szCs w:val="21"/>
        </w:rPr>
        <w:t>研判前海</w:t>
      </w:r>
      <w:r>
        <w:rPr>
          <w:rFonts w:hint="eastAsia" w:ascii="宋体" w:hAnsi="宋体" w:cs="宋体"/>
          <w:szCs w:val="21"/>
        </w:rPr>
        <w:t>“城市运营商”可衔接的政策要点。</w:t>
      </w:r>
    </w:p>
    <w:p>
      <w:pPr>
        <w:widowControl/>
        <w:spacing w:line="360" w:lineRule="auto"/>
        <w:ind w:firstLine="420" w:firstLineChars="200"/>
        <w:rPr>
          <w:rFonts w:ascii="宋体" w:hAnsi="宋体" w:cs="宋体"/>
          <w:szCs w:val="21"/>
        </w:rPr>
      </w:pPr>
      <w:r>
        <w:rPr>
          <w:rFonts w:ascii="宋体" w:hAnsi="宋体" w:cs="宋体"/>
          <w:szCs w:val="21"/>
        </w:rPr>
        <w:t>开发建设运营政策建议</w:t>
      </w:r>
      <w:r>
        <w:rPr>
          <w:rFonts w:hint="eastAsia" w:ascii="宋体" w:hAnsi="宋体" w:cs="宋体"/>
          <w:szCs w:val="21"/>
        </w:rPr>
        <w:t>：</w:t>
      </w:r>
      <w:r>
        <w:rPr>
          <w:rFonts w:ascii="宋体" w:hAnsi="宋体" w:cs="宋体"/>
          <w:szCs w:val="21"/>
        </w:rPr>
        <w:t>基于上述研究成果</w:t>
      </w:r>
      <w:r>
        <w:rPr>
          <w:rFonts w:hint="eastAsia" w:ascii="宋体" w:hAnsi="宋体" w:cs="宋体"/>
          <w:szCs w:val="21"/>
        </w:rPr>
        <w:t>，</w:t>
      </w:r>
      <w:r>
        <w:rPr>
          <w:rFonts w:ascii="宋体" w:hAnsi="宋体" w:cs="宋体"/>
          <w:szCs w:val="21"/>
        </w:rPr>
        <w:t>结合</w:t>
      </w:r>
      <w:r>
        <w:rPr>
          <w:rFonts w:hint="eastAsia" w:ascii="宋体" w:hAnsi="宋体" w:cs="宋体"/>
          <w:szCs w:val="21"/>
        </w:rPr>
        <w:t>可衔接</w:t>
      </w:r>
      <w:r>
        <w:rPr>
          <w:rFonts w:ascii="宋体" w:hAnsi="宋体" w:cs="宋体"/>
          <w:szCs w:val="21"/>
        </w:rPr>
        <w:t>的政策要点</w:t>
      </w:r>
      <w:r>
        <w:rPr>
          <w:rFonts w:hint="eastAsia" w:ascii="宋体" w:hAnsi="宋体" w:cs="宋体"/>
          <w:szCs w:val="21"/>
        </w:rPr>
        <w:t>，</w:t>
      </w:r>
      <w:r>
        <w:rPr>
          <w:rFonts w:ascii="宋体" w:hAnsi="宋体" w:cs="宋体"/>
          <w:szCs w:val="21"/>
        </w:rPr>
        <w:t>从运营主体</w:t>
      </w:r>
      <w:r>
        <w:rPr>
          <w:rFonts w:hint="eastAsia" w:ascii="宋体" w:hAnsi="宋体" w:cs="宋体"/>
          <w:szCs w:val="21"/>
        </w:rPr>
        <w:t>、</w:t>
      </w:r>
      <w:r>
        <w:rPr>
          <w:rFonts w:ascii="宋体" w:hAnsi="宋体" w:cs="宋体"/>
          <w:szCs w:val="21"/>
        </w:rPr>
        <w:t>运营内容</w:t>
      </w:r>
      <w:r>
        <w:rPr>
          <w:rFonts w:hint="eastAsia" w:ascii="宋体" w:hAnsi="宋体" w:cs="宋体"/>
          <w:szCs w:val="21"/>
        </w:rPr>
        <w:t>、</w:t>
      </w:r>
      <w:r>
        <w:rPr>
          <w:rFonts w:ascii="宋体" w:hAnsi="宋体" w:cs="宋体"/>
          <w:szCs w:val="21"/>
        </w:rPr>
        <w:t>运营模式等方面</w:t>
      </w:r>
      <w:r>
        <w:rPr>
          <w:rFonts w:hint="eastAsia" w:ascii="宋体" w:hAnsi="宋体" w:cs="宋体"/>
          <w:szCs w:val="21"/>
        </w:rPr>
        <w:t>，</w:t>
      </w:r>
      <w:r>
        <w:rPr>
          <w:rFonts w:ascii="宋体" w:hAnsi="宋体" w:cs="宋体"/>
          <w:szCs w:val="21"/>
        </w:rPr>
        <w:t>提出兼具理论高度和实操可行性的实施建议</w:t>
      </w:r>
      <w:r>
        <w:rPr>
          <w:rFonts w:hint="eastAsia" w:ascii="宋体" w:hAnsi="宋体" w:cs="宋体"/>
          <w:szCs w:val="21"/>
        </w:rPr>
        <w:t>，</w:t>
      </w:r>
      <w:r>
        <w:rPr>
          <w:rFonts w:ascii="宋体" w:hAnsi="宋体" w:cs="宋体"/>
          <w:szCs w:val="21"/>
        </w:rPr>
        <w:t>并总结形成前海新型</w:t>
      </w:r>
      <w:r>
        <w:rPr>
          <w:rFonts w:hint="eastAsia" w:ascii="宋体" w:hAnsi="宋体" w:cs="宋体"/>
          <w:szCs w:val="21"/>
        </w:rPr>
        <w:t>“城市运营商”模式</w:t>
      </w:r>
      <w:r>
        <w:rPr>
          <w:rFonts w:ascii="宋体" w:hAnsi="宋体" w:cs="宋体"/>
          <w:szCs w:val="21"/>
        </w:rPr>
        <w:t>改革创新要点</w:t>
      </w:r>
      <w:r>
        <w:rPr>
          <w:rFonts w:hint="eastAsia" w:ascii="宋体" w:hAnsi="宋体" w:cs="宋体"/>
          <w:szCs w:val="21"/>
        </w:rPr>
        <w:t>。</w:t>
      </w:r>
    </w:p>
    <w:p>
      <w:pPr>
        <w:widowControl/>
        <w:spacing w:line="360" w:lineRule="auto"/>
        <w:ind w:firstLine="420" w:firstLineChars="200"/>
        <w:rPr>
          <w:rFonts w:ascii="宋体" w:hAnsi="宋体" w:cs="宋体"/>
          <w:szCs w:val="21"/>
        </w:rPr>
      </w:pPr>
      <w:r>
        <w:rPr>
          <w:rFonts w:hint="eastAsia" w:ascii="宋体" w:hAnsi="宋体" w:cs="宋体"/>
          <w:szCs w:val="21"/>
        </w:rPr>
        <w:t>二、项目服务期限及最终成果要求</w:t>
      </w:r>
    </w:p>
    <w:p>
      <w:pPr>
        <w:widowControl/>
        <w:numPr>
          <w:ilvl w:val="0"/>
          <w:numId w:val="1"/>
        </w:numPr>
        <w:spacing w:line="360" w:lineRule="auto"/>
        <w:rPr>
          <w:rFonts w:ascii="宋体" w:hAnsi="宋体" w:cs="宋体"/>
          <w:szCs w:val="21"/>
        </w:rPr>
      </w:pPr>
      <w:r>
        <w:rPr>
          <w:rFonts w:hint="eastAsia" w:ascii="宋体" w:hAnsi="宋体" w:cs="宋体"/>
          <w:szCs w:val="21"/>
        </w:rPr>
        <w:t>项目服务期限</w:t>
      </w:r>
    </w:p>
    <w:p>
      <w:pPr>
        <w:pStyle w:val="12"/>
        <w:spacing w:line="360" w:lineRule="auto"/>
        <w:ind w:firstLine="420" w:firstLineChars="200"/>
        <w:rPr>
          <w:rFonts w:ascii="宋体" w:hAnsi="宋体" w:cs="宋体"/>
          <w:sz w:val="21"/>
          <w:szCs w:val="21"/>
        </w:rPr>
      </w:pPr>
      <w:r>
        <w:rPr>
          <w:rFonts w:hint="eastAsia" w:ascii="宋体" w:hAnsi="宋体" w:cs="宋体"/>
          <w:sz w:val="21"/>
          <w:szCs w:val="21"/>
        </w:rPr>
        <w:t>本项目服务期为自合同签订日起一年。自乙方提交的最终成果通过验收之日起一年内为后续服务期，提供对本项目工作成果的咨询等后续服务。</w:t>
      </w:r>
    </w:p>
    <w:p>
      <w:pPr>
        <w:pStyle w:val="12"/>
        <w:spacing w:line="360" w:lineRule="auto"/>
        <w:ind w:firstLine="420" w:firstLineChars="200"/>
        <w:rPr>
          <w:rFonts w:ascii="宋体" w:hAnsi="宋体" w:cs="宋体"/>
          <w:sz w:val="21"/>
          <w:szCs w:val="21"/>
        </w:rPr>
      </w:pPr>
      <w:r>
        <w:rPr>
          <w:rFonts w:hint="eastAsia" w:ascii="宋体" w:hAnsi="宋体" w:cs="宋体"/>
          <w:sz w:val="21"/>
          <w:szCs w:val="21"/>
        </w:rPr>
        <w:t>服务期内乙方应与甲方保持全面沟通，提供技术服务支持。</w:t>
      </w:r>
      <w:r>
        <w:rPr>
          <w:rFonts w:ascii="宋体" w:hAnsi="宋体" w:cs="宋体"/>
          <w:sz w:val="21"/>
          <w:szCs w:val="21"/>
        </w:rPr>
        <w:t>后续服务期内，</w:t>
      </w:r>
      <w:r>
        <w:rPr>
          <w:rFonts w:hint="eastAsia" w:ascii="宋体" w:hAnsi="宋体" w:cs="宋体"/>
          <w:sz w:val="21"/>
          <w:szCs w:val="21"/>
        </w:rPr>
        <w:t>乙方应向甲方提供后续的专业技术支持与咨询服务，</w:t>
      </w:r>
      <w:r>
        <w:rPr>
          <w:rFonts w:ascii="宋体" w:hAnsi="宋体" w:cs="宋体"/>
          <w:sz w:val="21"/>
          <w:szCs w:val="21"/>
        </w:rPr>
        <w:t>乙方应自收到甲方咨询起24小时以内予以回复</w:t>
      </w:r>
      <w:r>
        <w:rPr>
          <w:rFonts w:hint="eastAsia" w:ascii="宋体" w:hAnsi="宋体" w:cs="宋体"/>
          <w:sz w:val="21"/>
          <w:szCs w:val="21"/>
        </w:rPr>
        <w:t>。</w:t>
      </w:r>
    </w:p>
    <w:p>
      <w:pPr>
        <w:widowControl/>
        <w:numPr>
          <w:ilvl w:val="0"/>
          <w:numId w:val="1"/>
        </w:numPr>
        <w:spacing w:line="360" w:lineRule="auto"/>
        <w:rPr>
          <w:rFonts w:ascii="宋体" w:hAnsi="宋体" w:cs="宋体"/>
          <w:szCs w:val="21"/>
        </w:rPr>
      </w:pPr>
      <w:r>
        <w:rPr>
          <w:rFonts w:hint="eastAsia" w:ascii="宋体" w:hAnsi="宋体" w:cs="宋体"/>
          <w:szCs w:val="21"/>
        </w:rPr>
        <w:t>工作进度及阶段成果要求</w:t>
      </w:r>
    </w:p>
    <w:p>
      <w:pPr>
        <w:spacing w:before="156" w:beforeLines="50" w:after="156" w:afterLines="50"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.自合同签订之日起</w:t>
      </w:r>
      <w:r>
        <w:rPr>
          <w:rFonts w:hint="eastAsia" w:ascii="宋体" w:hAnsi="宋体" w:cs="宋体"/>
          <w:szCs w:val="21"/>
        </w:rPr>
        <w:t>8</w:t>
      </w:r>
      <w:r>
        <w:rPr>
          <w:rFonts w:ascii="宋体" w:hAnsi="宋体" w:cs="宋体"/>
          <w:szCs w:val="21"/>
        </w:rPr>
        <w:t>个月内，</w:t>
      </w:r>
      <w:r>
        <w:rPr>
          <w:rFonts w:hint="eastAsia" w:ascii="宋体" w:hAnsi="宋体" w:cs="宋体"/>
          <w:szCs w:val="21"/>
        </w:rPr>
        <w:t>乙方</w:t>
      </w:r>
      <w:r>
        <w:rPr>
          <w:rFonts w:ascii="宋体" w:hAnsi="宋体" w:cs="宋体"/>
          <w:szCs w:val="21"/>
        </w:rPr>
        <w:t>向</w:t>
      </w:r>
      <w:r>
        <w:rPr>
          <w:rFonts w:hint="eastAsia" w:ascii="宋体" w:hAnsi="宋体" w:cs="宋体"/>
          <w:szCs w:val="21"/>
        </w:rPr>
        <w:t>甲方</w:t>
      </w:r>
      <w:r>
        <w:rPr>
          <w:rFonts w:ascii="宋体" w:hAnsi="宋体" w:cs="宋体"/>
          <w:szCs w:val="21"/>
        </w:rPr>
        <w:t>提交本合同项下</w:t>
      </w:r>
      <w:r>
        <w:rPr>
          <w:rFonts w:hint="eastAsia" w:ascii="宋体" w:hAnsi="宋体" w:cs="宋体"/>
          <w:szCs w:val="21"/>
        </w:rPr>
        <w:t>《前海“城市运营商”模式策略研究（暂定名）》</w:t>
      </w:r>
      <w:r>
        <w:rPr>
          <w:rFonts w:ascii="宋体" w:hAnsi="宋体" w:cs="宋体"/>
          <w:szCs w:val="21"/>
        </w:rPr>
        <w:t>等</w:t>
      </w:r>
      <w:r>
        <w:rPr>
          <w:rFonts w:hint="eastAsia" w:ascii="宋体" w:hAnsi="宋体" w:cs="宋体"/>
          <w:szCs w:val="21"/>
        </w:rPr>
        <w:t>全部</w:t>
      </w:r>
      <w:r>
        <w:rPr>
          <w:rFonts w:ascii="宋体" w:hAnsi="宋体" w:cs="宋体"/>
          <w:szCs w:val="21"/>
        </w:rPr>
        <w:t>成果</w:t>
      </w:r>
      <w:r>
        <w:rPr>
          <w:rFonts w:hint="eastAsia" w:ascii="宋体" w:hAnsi="宋体" w:cs="宋体"/>
          <w:szCs w:val="21"/>
        </w:rPr>
        <w:t>初稿</w:t>
      </w:r>
      <w:r>
        <w:rPr>
          <w:rFonts w:ascii="宋体" w:hAnsi="宋体" w:cs="宋体"/>
          <w:szCs w:val="21"/>
        </w:rPr>
        <w:t>，</w:t>
      </w:r>
      <w:r>
        <w:rPr>
          <w:rFonts w:hint="eastAsia" w:ascii="宋体" w:hAnsi="宋体" w:cs="宋体"/>
          <w:szCs w:val="21"/>
        </w:rPr>
        <w:t>甲方</w:t>
      </w:r>
      <w:r>
        <w:rPr>
          <w:rFonts w:ascii="宋体" w:hAnsi="宋体" w:cs="宋体"/>
          <w:szCs w:val="21"/>
        </w:rPr>
        <w:t>在收到成果</w:t>
      </w:r>
      <w:r>
        <w:rPr>
          <w:rFonts w:hint="eastAsia" w:ascii="宋体" w:hAnsi="宋体" w:cs="宋体"/>
          <w:szCs w:val="21"/>
        </w:rPr>
        <w:t>初稿</w:t>
      </w:r>
      <w:r>
        <w:rPr>
          <w:rFonts w:ascii="宋体" w:hAnsi="宋体" w:cs="宋体"/>
          <w:szCs w:val="21"/>
        </w:rPr>
        <w:t>后</w:t>
      </w:r>
      <w:r>
        <w:rPr>
          <w:rFonts w:hint="eastAsia" w:ascii="宋体" w:hAnsi="宋体" w:cs="宋体"/>
          <w:szCs w:val="21"/>
        </w:rPr>
        <w:t>5</w:t>
      </w:r>
      <w:r>
        <w:rPr>
          <w:rFonts w:ascii="宋体" w:hAnsi="宋体" w:cs="宋体"/>
          <w:szCs w:val="21"/>
        </w:rPr>
        <w:t>个工作日内进行研究并提出修改意见。</w:t>
      </w:r>
      <w:r>
        <w:rPr>
          <w:rFonts w:hint="eastAsia" w:ascii="宋体" w:hAnsi="宋体" w:cs="宋体"/>
          <w:szCs w:val="21"/>
        </w:rPr>
        <w:t>自收到修改意见之日起【5】日内，乙方</w:t>
      </w:r>
      <w:r>
        <w:rPr>
          <w:rFonts w:ascii="宋体" w:hAnsi="宋体" w:cs="宋体"/>
          <w:szCs w:val="21"/>
        </w:rPr>
        <w:t>应根据修改意见对</w:t>
      </w:r>
      <w:r>
        <w:rPr>
          <w:rFonts w:hint="eastAsia" w:ascii="宋体" w:hAnsi="宋体" w:cs="宋体"/>
          <w:szCs w:val="21"/>
        </w:rPr>
        <w:t>全部</w:t>
      </w:r>
      <w:r>
        <w:rPr>
          <w:rFonts w:ascii="宋体" w:hAnsi="宋体" w:cs="宋体"/>
          <w:szCs w:val="21"/>
        </w:rPr>
        <w:t>成果</w:t>
      </w:r>
      <w:r>
        <w:rPr>
          <w:rFonts w:hint="eastAsia" w:ascii="宋体" w:hAnsi="宋体" w:cs="宋体"/>
          <w:szCs w:val="21"/>
        </w:rPr>
        <w:t>初稿</w:t>
      </w:r>
      <w:r>
        <w:rPr>
          <w:rFonts w:ascii="宋体" w:hAnsi="宋体" w:cs="宋体"/>
          <w:szCs w:val="21"/>
        </w:rPr>
        <w:t>进行修改</w:t>
      </w:r>
      <w:r>
        <w:rPr>
          <w:rFonts w:hint="eastAsia" w:ascii="宋体" w:hAnsi="宋体" w:cs="宋体"/>
          <w:szCs w:val="21"/>
        </w:rPr>
        <w:t>。</w:t>
      </w:r>
    </w:p>
    <w:p>
      <w:pPr>
        <w:spacing w:before="156" w:beforeLines="50" w:after="156" w:afterLines="50"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自合同签订之日起</w:t>
      </w:r>
      <w:r>
        <w:rPr>
          <w:rFonts w:hint="eastAsia" w:ascii="宋体" w:hAnsi="宋体" w:cs="宋体"/>
          <w:szCs w:val="21"/>
        </w:rPr>
        <w:t>10</w:t>
      </w:r>
      <w:r>
        <w:rPr>
          <w:rFonts w:ascii="宋体" w:hAnsi="宋体" w:cs="宋体"/>
          <w:szCs w:val="21"/>
        </w:rPr>
        <w:t>个月内，</w:t>
      </w:r>
      <w:r>
        <w:rPr>
          <w:rFonts w:hint="eastAsia" w:ascii="宋体" w:hAnsi="宋体" w:cs="宋体"/>
          <w:szCs w:val="21"/>
        </w:rPr>
        <w:t>乙方</w:t>
      </w:r>
      <w:r>
        <w:rPr>
          <w:rFonts w:ascii="宋体" w:hAnsi="宋体" w:cs="宋体"/>
          <w:szCs w:val="21"/>
        </w:rPr>
        <w:t>向</w:t>
      </w:r>
      <w:r>
        <w:rPr>
          <w:rFonts w:hint="eastAsia" w:ascii="宋体" w:hAnsi="宋体" w:cs="宋体"/>
          <w:szCs w:val="21"/>
        </w:rPr>
        <w:t>甲方</w:t>
      </w:r>
      <w:r>
        <w:rPr>
          <w:rFonts w:ascii="宋体" w:hAnsi="宋体" w:cs="宋体"/>
          <w:szCs w:val="21"/>
        </w:rPr>
        <w:t>提交本合同项下</w:t>
      </w:r>
      <w:r>
        <w:rPr>
          <w:rFonts w:hint="eastAsia" w:ascii="宋体" w:hAnsi="宋体" w:cs="宋体"/>
          <w:szCs w:val="21"/>
        </w:rPr>
        <w:t>《前海“城市运营商”模式策略研究（暂定名）》</w:t>
      </w:r>
      <w:r>
        <w:rPr>
          <w:rFonts w:ascii="宋体" w:hAnsi="宋体" w:cs="宋体"/>
          <w:szCs w:val="21"/>
        </w:rPr>
        <w:t>等</w:t>
      </w:r>
      <w:r>
        <w:rPr>
          <w:rFonts w:hint="eastAsia" w:ascii="宋体" w:hAnsi="宋体" w:cs="宋体"/>
          <w:szCs w:val="21"/>
        </w:rPr>
        <w:t>全部</w:t>
      </w:r>
      <w:r>
        <w:rPr>
          <w:rFonts w:ascii="宋体" w:hAnsi="宋体" w:cs="宋体"/>
          <w:szCs w:val="21"/>
        </w:rPr>
        <w:t>成果</w:t>
      </w:r>
      <w:r>
        <w:rPr>
          <w:rFonts w:hint="eastAsia" w:ascii="宋体" w:hAnsi="宋体" w:cs="宋体"/>
          <w:szCs w:val="21"/>
        </w:rPr>
        <w:t>终稿</w:t>
      </w:r>
      <w:r>
        <w:rPr>
          <w:rFonts w:ascii="宋体" w:hAnsi="宋体" w:cs="宋体"/>
          <w:szCs w:val="21"/>
        </w:rPr>
        <w:t>，</w:t>
      </w:r>
      <w:r>
        <w:rPr>
          <w:rFonts w:hint="eastAsia" w:ascii="宋体" w:hAnsi="宋体" w:cs="宋体"/>
          <w:szCs w:val="21"/>
        </w:rPr>
        <w:t>甲方</w:t>
      </w:r>
      <w:r>
        <w:rPr>
          <w:rFonts w:ascii="宋体" w:hAnsi="宋体" w:cs="宋体"/>
          <w:szCs w:val="21"/>
        </w:rPr>
        <w:t>在收到成果</w:t>
      </w:r>
      <w:r>
        <w:rPr>
          <w:rFonts w:hint="eastAsia" w:ascii="宋体" w:hAnsi="宋体" w:cs="宋体"/>
          <w:szCs w:val="21"/>
        </w:rPr>
        <w:t>终稿</w:t>
      </w:r>
      <w:r>
        <w:rPr>
          <w:rFonts w:ascii="宋体" w:hAnsi="宋体" w:cs="宋体"/>
          <w:szCs w:val="21"/>
        </w:rPr>
        <w:t>后</w:t>
      </w:r>
      <w:r>
        <w:rPr>
          <w:rFonts w:hint="eastAsia" w:ascii="宋体" w:hAnsi="宋体" w:cs="宋体"/>
          <w:szCs w:val="21"/>
        </w:rPr>
        <w:t>5</w:t>
      </w:r>
      <w:r>
        <w:rPr>
          <w:rFonts w:ascii="宋体" w:hAnsi="宋体" w:cs="宋体"/>
          <w:szCs w:val="21"/>
        </w:rPr>
        <w:t>个工作日内进行研究并提出修改意见。</w:t>
      </w:r>
      <w:r>
        <w:rPr>
          <w:rFonts w:hint="eastAsia" w:ascii="宋体" w:hAnsi="宋体" w:cs="宋体"/>
          <w:szCs w:val="21"/>
        </w:rPr>
        <w:t>自收到修改意见之日起【5】日内，乙方</w:t>
      </w:r>
      <w:r>
        <w:rPr>
          <w:rFonts w:ascii="宋体" w:hAnsi="宋体" w:cs="宋体"/>
          <w:szCs w:val="21"/>
        </w:rPr>
        <w:t>应根据修改意见对</w:t>
      </w:r>
      <w:r>
        <w:rPr>
          <w:rFonts w:hint="eastAsia" w:ascii="宋体" w:hAnsi="宋体" w:cs="宋体"/>
          <w:szCs w:val="21"/>
        </w:rPr>
        <w:t>全部</w:t>
      </w:r>
      <w:r>
        <w:rPr>
          <w:rFonts w:ascii="宋体" w:hAnsi="宋体" w:cs="宋体"/>
          <w:szCs w:val="21"/>
        </w:rPr>
        <w:t>成果</w:t>
      </w:r>
      <w:r>
        <w:rPr>
          <w:rFonts w:hint="eastAsia" w:ascii="宋体" w:hAnsi="宋体" w:cs="宋体"/>
          <w:szCs w:val="21"/>
        </w:rPr>
        <w:t>终稿</w:t>
      </w:r>
      <w:r>
        <w:rPr>
          <w:rFonts w:ascii="宋体" w:hAnsi="宋体" w:cs="宋体"/>
          <w:szCs w:val="21"/>
        </w:rPr>
        <w:t>进行修改</w:t>
      </w:r>
      <w:r>
        <w:rPr>
          <w:rFonts w:hint="eastAsia" w:ascii="宋体" w:hAnsi="宋体" w:cs="宋体"/>
          <w:szCs w:val="21"/>
        </w:rPr>
        <w:t>。</w:t>
      </w:r>
    </w:p>
    <w:p>
      <w:pPr>
        <w:widowControl/>
        <w:spacing w:line="360" w:lineRule="auto"/>
        <w:ind w:left="420"/>
        <w:rPr>
          <w:rFonts w:ascii="宋体" w:hAnsi="宋体" w:cs="宋体"/>
          <w:szCs w:val="21"/>
        </w:rPr>
      </w:pPr>
      <w:r>
        <w:rPr>
          <w:rFonts w:hint="eastAsia" w:ascii="宋体" w:hAnsi="宋体" w:cs="宋体"/>
          <w:szCs w:val="21"/>
        </w:rPr>
        <w:t>三、工作成果及验收标准、方式</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 xml:space="preserve">（一）主要成果： </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1.《</w:t>
      </w:r>
      <w:r>
        <w:rPr>
          <w:rFonts w:hint="eastAsia" w:ascii="宋体" w:hAnsi="宋体" w:cs="宋体"/>
          <w:b w:val="0"/>
          <w:sz w:val="21"/>
          <w:szCs w:val="21"/>
        </w:rPr>
        <w:t>深港合作战略下的前海城市综合运营模式研究</w:t>
      </w:r>
      <w:r>
        <w:rPr>
          <w:rFonts w:hint="eastAsia" w:ascii="宋体" w:hAnsi="宋体" w:cs="宋体"/>
          <w:b w:val="0"/>
          <w:bCs w:val="0"/>
          <w:sz w:val="21"/>
          <w:szCs w:val="21"/>
        </w:rPr>
        <w:t>（暂定名，送审稿）》（电子版1套、加盖公章纸质版5套）；</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2</w:t>
      </w:r>
      <w:r>
        <w:rPr>
          <w:rFonts w:ascii="宋体" w:hAnsi="宋体" w:cs="宋体"/>
          <w:b w:val="0"/>
          <w:bCs w:val="0"/>
          <w:sz w:val="21"/>
          <w:szCs w:val="21"/>
        </w:rPr>
        <w:t>.</w:t>
      </w:r>
      <w:r>
        <w:rPr>
          <w:rFonts w:ascii="宋体" w:hAnsi="宋体" w:cs="宋体"/>
          <w:sz w:val="21"/>
          <w:szCs w:val="21"/>
        </w:rPr>
        <w:t xml:space="preserve"> </w:t>
      </w:r>
      <w:r>
        <w:rPr>
          <w:rFonts w:hint="eastAsia" w:ascii="宋体" w:hAnsi="宋体" w:cs="宋体"/>
          <w:b w:val="0"/>
          <w:bCs w:val="0"/>
          <w:sz w:val="21"/>
          <w:szCs w:val="21"/>
        </w:rPr>
        <w:t>深化前海创新城市运营商模式的政策建议（暂定名）（电子版</w:t>
      </w:r>
      <w:r>
        <w:rPr>
          <w:rFonts w:ascii="宋体" w:hAnsi="宋体" w:cs="宋体"/>
          <w:b w:val="0"/>
          <w:bCs w:val="0"/>
          <w:sz w:val="21"/>
          <w:szCs w:val="21"/>
        </w:rPr>
        <w:t>1套、加盖公章纸质版5套）。</w:t>
      </w:r>
    </w:p>
    <w:p>
      <w:pPr>
        <w:widowControl/>
        <w:numPr>
          <w:ilvl w:val="0"/>
          <w:numId w:val="2"/>
        </w:numPr>
        <w:spacing w:line="360" w:lineRule="auto"/>
        <w:ind w:firstLine="420" w:firstLineChars="200"/>
        <w:rPr>
          <w:rFonts w:ascii="宋体" w:hAnsi="宋体" w:cs="宋体"/>
          <w:szCs w:val="21"/>
        </w:rPr>
      </w:pPr>
      <w:r>
        <w:rPr>
          <w:rFonts w:hint="eastAsia" w:ascii="宋体" w:hAnsi="宋体" w:cs="宋体"/>
          <w:szCs w:val="21"/>
        </w:rPr>
        <w:t>验收方式及后续服务</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1. 验收标准</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上述成果应具备可操作性、可执行性，指导前海合作区与自贸片区进一步争取改革授权、强化政策集成和制度创新，为开放发展增创新优势。</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2. 验收方式</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根据验收标准要求，中标人应按采购人规定的技术及时间要求，完成相应工作成果并全部提交。通过组织专家评审论证会方式验收。</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3. 其他要求</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保证理论与实际相结合，乙方应至少开展2次实地调研；</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注重课题研究成果的对策性和实用性，避免过分理论性的研究，课题成果中紧扣前海开发开放实际情况的分析占比须达60%以上；</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课题研究完成后，乙方需通过第三方查重系统对课题成果进行内容查重，重复率不得超过20%；</w:t>
      </w:r>
    </w:p>
    <w:p>
      <w:pPr>
        <w:pStyle w:val="12"/>
        <w:ind w:firstLine="422"/>
        <w:rPr>
          <w:rFonts w:ascii="宋体" w:hAnsi="宋体" w:cs="宋体"/>
          <w:bCs/>
          <w:sz w:val="21"/>
          <w:szCs w:val="24"/>
        </w:rPr>
      </w:pPr>
      <w:r>
        <w:rPr>
          <w:rFonts w:hint="eastAsia" w:ascii="宋体" w:hAnsi="宋体" w:cs="宋体"/>
          <w:bCs/>
          <w:sz w:val="21"/>
          <w:szCs w:val="24"/>
        </w:rPr>
        <w:t>严禁弄虚作假、抄袭剽窃等违规行为。</w:t>
      </w:r>
    </w:p>
    <w:p>
      <w:pPr>
        <w:widowControl/>
        <w:spacing w:line="360" w:lineRule="auto"/>
        <w:ind w:firstLine="420" w:firstLineChars="200"/>
        <w:rPr>
          <w:rFonts w:ascii="宋体" w:hAnsi="宋体" w:cs="宋体"/>
          <w:szCs w:val="21"/>
        </w:rPr>
      </w:pPr>
      <w:r>
        <w:rPr>
          <w:rFonts w:hint="eastAsia" w:ascii="宋体" w:hAnsi="宋体" w:cs="宋体"/>
          <w:szCs w:val="21"/>
        </w:rPr>
        <w:t>三、合同金额</w:t>
      </w:r>
    </w:p>
    <w:p>
      <w:pPr>
        <w:widowControl/>
        <w:spacing w:line="360" w:lineRule="auto"/>
        <w:ind w:firstLine="420" w:firstLineChars="200"/>
        <w:rPr>
          <w:rFonts w:ascii="宋体" w:hAnsi="宋体" w:cs="宋体"/>
          <w:szCs w:val="21"/>
        </w:rPr>
      </w:pPr>
      <w:r>
        <w:rPr>
          <w:rFonts w:hint="eastAsia" w:ascii="宋体" w:hAnsi="宋体" w:cs="宋体"/>
          <w:szCs w:val="21"/>
        </w:rPr>
        <w:t>合同金额为人民币</w:t>
      </w:r>
      <w:r>
        <w:rPr>
          <w:rFonts w:hint="eastAsia" w:ascii="宋体" w:hAnsi="宋体" w:cs="宋体"/>
          <w:i/>
          <w:szCs w:val="21"/>
          <w:u w:val="single"/>
        </w:rPr>
        <w:t xml:space="preserve">     </w:t>
      </w:r>
      <w:r>
        <w:rPr>
          <w:rFonts w:hint="eastAsia" w:ascii="宋体" w:hAnsi="宋体" w:cs="宋体"/>
          <w:szCs w:val="21"/>
        </w:rPr>
        <w:t>万元整（小写￥元）（中标价），此金额包含</w:t>
      </w:r>
      <w:r>
        <w:rPr>
          <w:rFonts w:hint="eastAsia" w:ascii="宋体" w:hAnsi="宋体" w:cs="宋体"/>
          <w:szCs w:val="21"/>
          <w:lang w:val="zh-CN"/>
        </w:rPr>
        <w:t>项目执行过程中乙方及乙方团队成员为项目所发生的所有费用（</w:t>
      </w:r>
      <w:r>
        <w:rPr>
          <w:rStyle w:val="44"/>
          <w:rFonts w:hint="eastAsia"/>
        </w:rPr>
        <w:t>调研费、中标服务费、各种资料费、保险、税金、会议评审、广告宣传、公开展示、公众咨询等所有费用，并提供合同要求的政策成果文件，以及其它相关服务的全部费用</w:t>
      </w:r>
      <w:r>
        <w:rPr>
          <w:rFonts w:hint="eastAsia" w:ascii="宋体" w:hAnsi="宋体" w:cs="宋体"/>
          <w:szCs w:val="21"/>
          <w:lang w:val="zh-CN"/>
        </w:rPr>
        <w:t>）</w:t>
      </w:r>
      <w:r>
        <w:rPr>
          <w:rFonts w:hint="eastAsia" w:ascii="宋体" w:hAnsi="宋体" w:cs="宋体"/>
          <w:szCs w:val="21"/>
        </w:rPr>
        <w:t>。</w:t>
      </w:r>
    </w:p>
    <w:p>
      <w:pPr>
        <w:widowControl/>
        <w:spacing w:line="360" w:lineRule="auto"/>
        <w:ind w:firstLine="420" w:firstLineChars="200"/>
        <w:rPr>
          <w:rFonts w:ascii="宋体" w:hAnsi="宋体" w:cs="宋体"/>
          <w:szCs w:val="21"/>
        </w:rPr>
      </w:pPr>
      <w:r>
        <w:rPr>
          <w:rFonts w:hint="eastAsia" w:ascii="宋体" w:hAnsi="宋体" w:cs="宋体"/>
          <w:szCs w:val="21"/>
        </w:rPr>
        <w:t>四、付款方式</w:t>
      </w:r>
    </w:p>
    <w:p>
      <w:pPr>
        <w:widowControl/>
        <w:spacing w:line="360" w:lineRule="auto"/>
        <w:ind w:firstLine="420" w:firstLineChars="200"/>
        <w:rPr>
          <w:rFonts w:ascii="宋体" w:hAnsi="宋体" w:cs="宋体"/>
          <w:color w:val="000000"/>
          <w:szCs w:val="21"/>
        </w:rPr>
      </w:pPr>
      <w:r>
        <w:rPr>
          <w:rFonts w:hint="eastAsia" w:ascii="宋体" w:hAnsi="宋体" w:cs="宋体"/>
          <w:color w:val="000000"/>
          <w:szCs w:val="21"/>
        </w:rPr>
        <w:t>合同价款由甲方分</w:t>
      </w:r>
      <w:r>
        <w:rPr>
          <w:rFonts w:ascii="宋体" w:hAnsi="宋体" w:cs="宋体"/>
          <w:color w:val="000000"/>
          <w:szCs w:val="21"/>
        </w:rPr>
        <w:t>2</w:t>
      </w:r>
      <w:r>
        <w:rPr>
          <w:rFonts w:hint="eastAsia" w:ascii="宋体" w:hAnsi="宋体" w:cs="宋体"/>
          <w:color w:val="000000"/>
          <w:szCs w:val="21"/>
        </w:rPr>
        <w:t>期付至中标方指定银行账户，支付比例为</w:t>
      </w:r>
      <w:r>
        <w:rPr>
          <w:rFonts w:ascii="宋体" w:hAnsi="宋体" w:cs="宋体"/>
          <w:color w:val="000000"/>
          <w:szCs w:val="21"/>
        </w:rPr>
        <w:t>5</w:t>
      </w:r>
      <w:r>
        <w:rPr>
          <w:rFonts w:hint="eastAsia" w:ascii="宋体" w:hAnsi="宋体" w:cs="宋体"/>
          <w:color w:val="000000"/>
          <w:szCs w:val="21"/>
        </w:rPr>
        <w:t>0%、50%。具体支付要求如下：</w:t>
      </w:r>
    </w:p>
    <w:p>
      <w:pPr>
        <w:widowControl/>
        <w:spacing w:line="360" w:lineRule="auto"/>
        <w:ind w:firstLine="420" w:firstLineChars="200"/>
        <w:rPr>
          <w:rFonts w:ascii="宋体" w:hAnsi="宋体" w:cs="宋体"/>
          <w:szCs w:val="21"/>
        </w:rPr>
      </w:pPr>
      <w:r>
        <w:rPr>
          <w:rFonts w:hint="eastAsia" w:ascii="宋体" w:hAnsi="宋体" w:cs="宋体"/>
          <w:kern w:val="0"/>
          <w:szCs w:val="21"/>
        </w:rPr>
        <w:t>第一期：自本合同签订之日起</w:t>
      </w:r>
      <w:r>
        <w:rPr>
          <w:rFonts w:hint="eastAsia" w:ascii="宋体" w:hAnsi="宋体" w:cs="宋体"/>
          <w:i/>
          <w:szCs w:val="21"/>
          <w:u w:val="single"/>
        </w:rPr>
        <w:t xml:space="preserve"> </w:t>
      </w:r>
      <w:r>
        <w:rPr>
          <w:rFonts w:hint="eastAsia" w:ascii="宋体" w:hAnsi="宋体" w:cs="宋体"/>
          <w:szCs w:val="21"/>
          <w:u w:val="single"/>
        </w:rPr>
        <w:t xml:space="preserve">15 </w:t>
      </w:r>
      <w:r>
        <w:rPr>
          <w:rFonts w:hint="eastAsia" w:ascii="宋体" w:hAnsi="宋体" w:cs="宋体"/>
          <w:szCs w:val="21"/>
        </w:rPr>
        <w:t xml:space="preserve">个工作日内，根据乙方提出的付款申请，甲方向乙方支付人民币元整，小写¥  </w:t>
      </w:r>
      <w:r>
        <w:rPr>
          <w:rFonts w:hint="eastAsia" w:ascii="宋体" w:hAnsi="宋体" w:cs="宋体"/>
          <w:szCs w:val="21"/>
          <w:u w:val="single"/>
        </w:rPr>
        <w:t>元</w:t>
      </w:r>
      <w:r>
        <w:rPr>
          <w:rFonts w:hint="eastAsia" w:ascii="宋体" w:hAnsi="宋体" w:cs="宋体"/>
          <w:szCs w:val="21"/>
        </w:rPr>
        <w:t>（占合同总价款的</w:t>
      </w:r>
      <w:r>
        <w:rPr>
          <w:rFonts w:ascii="宋体" w:hAnsi="宋体" w:cs="宋体"/>
          <w:szCs w:val="21"/>
        </w:rPr>
        <w:t>5</w:t>
      </w:r>
      <w:r>
        <w:rPr>
          <w:rFonts w:hint="eastAsia" w:ascii="宋体" w:hAnsi="宋体" w:cs="宋体"/>
          <w:szCs w:val="21"/>
        </w:rPr>
        <w:t>0%）。</w:t>
      </w:r>
    </w:p>
    <w:p>
      <w:pPr>
        <w:pStyle w:val="2"/>
        <w:ind w:firstLine="420" w:firstLineChars="200"/>
        <w:rPr>
          <w:rFonts w:ascii="宋体" w:hAnsi="宋体" w:cs="宋体"/>
          <w:b w:val="0"/>
          <w:bCs w:val="0"/>
          <w:sz w:val="21"/>
          <w:szCs w:val="21"/>
        </w:rPr>
      </w:pPr>
      <w:r>
        <w:rPr>
          <w:rFonts w:hint="eastAsia" w:ascii="宋体" w:hAnsi="宋体" w:cs="宋体"/>
          <w:b w:val="0"/>
          <w:bCs w:val="0"/>
          <w:kern w:val="0"/>
          <w:sz w:val="21"/>
          <w:szCs w:val="21"/>
        </w:rPr>
        <w:t>第二期：</w:t>
      </w:r>
      <w:r>
        <w:rPr>
          <w:rFonts w:hint="eastAsia" w:ascii="宋体" w:hAnsi="宋体" w:cs="宋体"/>
          <w:b w:val="0"/>
          <w:bCs w:val="0"/>
          <w:sz w:val="21"/>
          <w:szCs w:val="21"/>
        </w:rPr>
        <w:t>乙方完成最终成果，并经甲方审查通过后</w:t>
      </w:r>
      <w:r>
        <w:rPr>
          <w:rFonts w:hint="eastAsia" w:ascii="宋体" w:hAnsi="宋体" w:cs="宋体"/>
          <w:b w:val="0"/>
          <w:bCs w:val="0"/>
          <w:kern w:val="0"/>
          <w:sz w:val="21"/>
          <w:szCs w:val="21"/>
          <w:u w:val="single"/>
        </w:rPr>
        <w:t xml:space="preserve"> 15 </w:t>
      </w:r>
      <w:r>
        <w:rPr>
          <w:rFonts w:hint="eastAsia" w:ascii="宋体" w:hAnsi="宋体" w:cs="宋体"/>
          <w:b w:val="0"/>
          <w:bCs w:val="0"/>
          <w:kern w:val="0"/>
          <w:sz w:val="21"/>
          <w:szCs w:val="21"/>
        </w:rPr>
        <w:t>个工作日内，</w:t>
      </w:r>
      <w:r>
        <w:rPr>
          <w:rFonts w:hint="eastAsia" w:ascii="宋体" w:hAnsi="宋体" w:cs="宋体"/>
          <w:b w:val="0"/>
          <w:bCs w:val="0"/>
          <w:sz w:val="21"/>
          <w:szCs w:val="21"/>
        </w:rPr>
        <w:t>根据乙方提出的付款申请，甲方向乙方支付人民币元整，小写¥</w:t>
      </w:r>
      <w:r>
        <w:rPr>
          <w:rFonts w:hint="eastAsia" w:ascii="宋体" w:hAnsi="宋体" w:cs="宋体"/>
          <w:b w:val="0"/>
          <w:bCs w:val="0"/>
          <w:sz w:val="21"/>
          <w:szCs w:val="21"/>
          <w:u w:val="single"/>
        </w:rPr>
        <w:t xml:space="preserve">  </w:t>
      </w:r>
      <w:r>
        <w:rPr>
          <w:rFonts w:hint="eastAsia" w:ascii="宋体" w:hAnsi="宋体" w:cs="宋体"/>
          <w:b w:val="0"/>
          <w:bCs w:val="0"/>
          <w:sz w:val="21"/>
          <w:szCs w:val="21"/>
        </w:rPr>
        <w:t>元（占合同总价款的</w:t>
      </w:r>
      <w:r>
        <w:rPr>
          <w:rFonts w:ascii="宋体" w:hAnsi="宋体" w:cs="宋体"/>
          <w:b w:val="0"/>
          <w:bCs w:val="0"/>
          <w:sz w:val="21"/>
          <w:szCs w:val="21"/>
        </w:rPr>
        <w:t>5</w:t>
      </w:r>
      <w:r>
        <w:rPr>
          <w:rFonts w:hint="eastAsia" w:ascii="宋体" w:hAnsi="宋体" w:cs="宋体"/>
          <w:b w:val="0"/>
          <w:bCs w:val="0"/>
          <w:sz w:val="21"/>
          <w:szCs w:val="21"/>
        </w:rPr>
        <w:t>0%）。</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上述每期款项均在满足付款条件，且甲方收到乙方开具的载明相应金额的合格发票后15个工作日内付至乙方指定银行账户。如未及时收到发票，则甲方相应付款时间顺延。</w:t>
      </w:r>
      <w:bookmarkStart w:id="8" w:name="_Hlk32923729"/>
      <w:r>
        <w:rPr>
          <w:rFonts w:hint="eastAsia" w:ascii="宋体" w:hAnsi="宋体" w:cs="宋体"/>
          <w:kern w:val="0"/>
          <w:szCs w:val="21"/>
        </w:rPr>
        <w:t>若因甲方付款审批影响支付进度，请乙方予以谅解，并不得就此向甲方索赔。</w:t>
      </w:r>
    </w:p>
    <w:p>
      <w:pPr>
        <w:widowControl/>
        <w:spacing w:line="360" w:lineRule="auto"/>
        <w:ind w:firstLine="420" w:firstLineChars="200"/>
        <w:rPr>
          <w:rFonts w:ascii="宋体" w:hAnsi="宋体" w:cs="宋体"/>
          <w:szCs w:val="21"/>
        </w:rPr>
      </w:pPr>
      <w:r>
        <w:rPr>
          <w:rFonts w:hint="eastAsia" w:ascii="宋体" w:hAnsi="宋体" w:cs="宋体"/>
          <w:szCs w:val="21"/>
        </w:rPr>
        <w:t>甲方将合同款项转账支付至乙方指定银行账户：</w:t>
      </w:r>
    </w:p>
    <w:p>
      <w:pPr>
        <w:widowControl/>
        <w:spacing w:line="360" w:lineRule="auto"/>
        <w:ind w:firstLine="420" w:firstLineChars="200"/>
        <w:rPr>
          <w:rFonts w:ascii="宋体" w:hAnsi="宋体" w:cs="宋体"/>
          <w:szCs w:val="21"/>
        </w:rPr>
      </w:pPr>
      <w:r>
        <w:rPr>
          <w:rFonts w:hint="eastAsia" w:ascii="宋体" w:hAnsi="宋体" w:cs="宋体"/>
          <w:szCs w:val="21"/>
        </w:rPr>
        <w:t>户名：</w:t>
      </w:r>
    </w:p>
    <w:p>
      <w:pPr>
        <w:widowControl/>
        <w:spacing w:line="360" w:lineRule="auto"/>
        <w:ind w:firstLine="420" w:firstLineChars="200"/>
        <w:rPr>
          <w:rFonts w:ascii="宋体" w:hAnsi="宋体" w:cs="宋体"/>
          <w:szCs w:val="21"/>
        </w:rPr>
      </w:pPr>
      <w:r>
        <w:rPr>
          <w:rFonts w:hint="eastAsia" w:ascii="宋体" w:hAnsi="宋体" w:cs="宋体"/>
          <w:szCs w:val="21"/>
        </w:rPr>
        <w:t>银行账号：</w:t>
      </w:r>
    </w:p>
    <w:p>
      <w:pPr>
        <w:widowControl/>
        <w:spacing w:line="360" w:lineRule="auto"/>
        <w:ind w:firstLine="420" w:firstLineChars="200"/>
        <w:rPr>
          <w:rFonts w:ascii="宋体" w:hAnsi="宋体" w:cs="宋体"/>
          <w:szCs w:val="21"/>
        </w:rPr>
      </w:pPr>
      <w:r>
        <w:rPr>
          <w:rFonts w:hint="eastAsia" w:ascii="宋体" w:hAnsi="宋体" w:cs="宋体"/>
          <w:szCs w:val="21"/>
        </w:rPr>
        <w:t>开户银行：</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bookmarkEnd w:id="8"/>
    </w:p>
    <w:p>
      <w:pPr>
        <w:widowControl/>
        <w:spacing w:line="360" w:lineRule="auto"/>
        <w:ind w:firstLine="420" w:firstLineChars="200"/>
        <w:rPr>
          <w:rFonts w:ascii="宋体" w:hAnsi="宋体" w:cs="宋体"/>
          <w:szCs w:val="21"/>
        </w:rPr>
      </w:pPr>
      <w:r>
        <w:rPr>
          <w:rFonts w:hint="eastAsia" w:ascii="宋体" w:hAnsi="宋体" w:cs="宋体"/>
          <w:szCs w:val="21"/>
        </w:rPr>
        <w:t>六、甲方权利和义务</w:t>
      </w:r>
    </w:p>
    <w:p>
      <w:pPr>
        <w:widowControl/>
        <w:spacing w:line="360" w:lineRule="auto"/>
        <w:ind w:firstLine="420" w:firstLineChars="200"/>
        <w:rPr>
          <w:rFonts w:ascii="宋体" w:hAnsi="宋体" w:cs="宋体"/>
          <w:szCs w:val="21"/>
        </w:rPr>
      </w:pPr>
      <w:r>
        <w:rPr>
          <w:rFonts w:hint="eastAsia" w:ascii="宋体" w:hAnsi="宋体" w:cs="宋体"/>
          <w:szCs w:val="21"/>
        </w:rPr>
        <w:t>1、甲方权利</w:t>
      </w:r>
    </w:p>
    <w:p>
      <w:pPr>
        <w:widowControl/>
        <w:spacing w:line="360" w:lineRule="auto"/>
        <w:ind w:firstLine="420" w:firstLineChars="200"/>
        <w:rPr>
          <w:rFonts w:ascii="宋体" w:hAnsi="宋体" w:cs="宋体"/>
          <w:szCs w:val="21"/>
        </w:rPr>
      </w:pPr>
      <w:r>
        <w:rPr>
          <w:rFonts w:hint="eastAsia" w:ascii="宋体" w:hAnsi="宋体" w:cs="宋体"/>
          <w:szCs w:val="21"/>
        </w:rPr>
        <w:t>（1）甲方对项目过程的决策、控制、实施等环节实行全面管理，协调和监督项目开展，控制项目过程，有权要求乙方按本合同约定提供符合有关标准与要求的项目成果，并进行项目成果验收。</w:t>
      </w:r>
    </w:p>
    <w:p>
      <w:pPr>
        <w:widowControl/>
        <w:spacing w:line="360" w:lineRule="auto"/>
        <w:ind w:firstLine="420" w:firstLineChars="200"/>
        <w:rPr>
          <w:rFonts w:ascii="宋体" w:hAnsi="宋体" w:cs="宋体"/>
          <w:szCs w:val="21"/>
        </w:rPr>
      </w:pPr>
      <w:r>
        <w:rPr>
          <w:rFonts w:hint="eastAsia" w:ascii="宋体" w:hAnsi="宋体" w:cs="宋体"/>
          <w:szCs w:val="21"/>
        </w:rPr>
        <w:t>（2）检查乙方项目团队人员到位情况，如因人力、能力不足致使项目不能按计划完成、标准不达标等不符合本合同要求的情况，甲方可要求乙方增加或替换相应的技术人员，重新执行相应的工作服务，直至甲方认可，乙方不得拒绝，由此产生的全部费用由乙方自行承担，同时，甲方的付款时间相应顺延。</w:t>
      </w:r>
    </w:p>
    <w:p>
      <w:pPr>
        <w:widowControl/>
        <w:spacing w:line="360" w:lineRule="auto"/>
        <w:ind w:firstLine="420" w:firstLineChars="200"/>
        <w:rPr>
          <w:rFonts w:ascii="宋体" w:hAnsi="宋体" w:cs="宋体"/>
          <w:szCs w:val="21"/>
        </w:rPr>
      </w:pPr>
      <w:r>
        <w:rPr>
          <w:rFonts w:hint="eastAsia" w:ascii="宋体" w:hAnsi="宋体" w:cs="宋体"/>
          <w:szCs w:val="21"/>
        </w:rPr>
        <w:t>（3）甲方有权要求乙方按本合同规定的时间向甲方交付各阶段的项目成果，任一成果的迟延交付均视为整个项目的迟延交付。</w:t>
      </w:r>
    </w:p>
    <w:p>
      <w:pPr>
        <w:widowControl/>
        <w:spacing w:line="360" w:lineRule="auto"/>
        <w:ind w:firstLine="420" w:firstLineChars="200"/>
        <w:rPr>
          <w:rFonts w:ascii="宋体" w:hAnsi="宋体" w:cs="宋体"/>
          <w:szCs w:val="21"/>
        </w:rPr>
      </w:pPr>
      <w:r>
        <w:rPr>
          <w:rFonts w:hint="eastAsia" w:ascii="宋体" w:hAnsi="宋体" w:cs="宋体"/>
          <w:szCs w:val="21"/>
        </w:rPr>
        <w:t>（4）甲方有权要求乙方全面履行合同。甲方不接受部分履行，如本合同项下部分成果文件未能按时交付则视为整体延误。</w:t>
      </w:r>
    </w:p>
    <w:p>
      <w:pPr>
        <w:widowControl/>
        <w:spacing w:line="360" w:lineRule="auto"/>
        <w:ind w:firstLine="420" w:firstLineChars="200"/>
        <w:rPr>
          <w:rFonts w:ascii="宋体" w:hAnsi="宋体" w:cs="宋体"/>
          <w:szCs w:val="21"/>
        </w:rPr>
      </w:pPr>
      <w:r>
        <w:rPr>
          <w:rFonts w:hint="eastAsia" w:ascii="宋体" w:hAnsi="宋体" w:cs="宋体"/>
          <w:szCs w:val="21"/>
        </w:rPr>
        <w:t>（5）因乙方项目团队人员不稳定等原因导致本项目进度延误或质量低劣的，甲方有权终止本合同，并要求乙方</w:t>
      </w:r>
      <w:bookmarkStart w:id="9" w:name="_Hlk32923767"/>
      <w:r>
        <w:rPr>
          <w:rFonts w:hint="eastAsia" w:ascii="宋体" w:hAnsi="宋体" w:cs="宋体"/>
          <w:szCs w:val="21"/>
        </w:rPr>
        <w:t>按本合同的约定支付相应的违约金</w:t>
      </w:r>
      <w:bookmarkEnd w:id="9"/>
      <w:r>
        <w:rPr>
          <w:rFonts w:hint="eastAsia" w:ascii="宋体" w:hAnsi="宋体" w:cs="宋体"/>
          <w:szCs w:val="21"/>
        </w:rPr>
        <w:t>赔偿相应损失。</w:t>
      </w:r>
    </w:p>
    <w:p>
      <w:pPr>
        <w:widowControl/>
        <w:spacing w:line="360" w:lineRule="auto"/>
        <w:ind w:firstLine="420" w:firstLineChars="200"/>
        <w:rPr>
          <w:rFonts w:ascii="宋体" w:hAnsi="宋体" w:cs="宋体"/>
          <w:szCs w:val="21"/>
        </w:rPr>
      </w:pPr>
      <w:r>
        <w:rPr>
          <w:rFonts w:hint="eastAsia" w:ascii="宋体" w:hAnsi="宋体" w:cs="宋体"/>
          <w:szCs w:val="21"/>
        </w:rPr>
        <w:t>2、甲方义务</w:t>
      </w:r>
    </w:p>
    <w:p>
      <w:pPr>
        <w:widowControl/>
        <w:spacing w:line="360" w:lineRule="auto"/>
        <w:ind w:firstLine="420" w:firstLineChars="200"/>
        <w:rPr>
          <w:rFonts w:ascii="宋体" w:hAnsi="宋体" w:cs="宋体"/>
          <w:szCs w:val="21"/>
        </w:rPr>
      </w:pPr>
      <w:r>
        <w:rPr>
          <w:rFonts w:hint="eastAsia" w:ascii="宋体" w:hAnsi="宋体" w:cs="宋体"/>
          <w:szCs w:val="21"/>
        </w:rPr>
        <w:t>（1）甲方应为乙方工作提供必要的配合与支持，提供为完成本合同服务内容相关的资料和文件。</w:t>
      </w:r>
    </w:p>
    <w:p>
      <w:pPr>
        <w:widowControl/>
        <w:spacing w:line="360" w:lineRule="auto"/>
        <w:ind w:firstLine="420" w:firstLineChars="200"/>
        <w:rPr>
          <w:rFonts w:ascii="宋体" w:hAnsi="宋体" w:cs="宋体"/>
          <w:szCs w:val="21"/>
        </w:rPr>
      </w:pPr>
      <w:r>
        <w:rPr>
          <w:rFonts w:hint="eastAsia" w:ascii="宋体" w:hAnsi="宋体" w:cs="宋体"/>
          <w:szCs w:val="21"/>
        </w:rPr>
        <w:t>（2）甲方指定一名项目负责人以协调双方各项工作的顺利进行。</w:t>
      </w:r>
    </w:p>
    <w:p>
      <w:pPr>
        <w:widowControl/>
        <w:spacing w:line="360" w:lineRule="auto"/>
        <w:ind w:firstLine="420" w:firstLineChars="200"/>
        <w:rPr>
          <w:rFonts w:ascii="宋体" w:hAnsi="宋体" w:cs="宋体"/>
          <w:szCs w:val="21"/>
        </w:rPr>
      </w:pPr>
      <w:r>
        <w:rPr>
          <w:rFonts w:hint="eastAsia" w:ascii="宋体" w:hAnsi="宋体" w:cs="宋体"/>
          <w:szCs w:val="21"/>
        </w:rPr>
        <w:t>项目负责人：</w:t>
      </w:r>
    </w:p>
    <w:p>
      <w:pPr>
        <w:widowControl/>
        <w:spacing w:line="360" w:lineRule="auto"/>
        <w:ind w:firstLine="420" w:firstLineChars="200"/>
        <w:rPr>
          <w:rFonts w:ascii="宋体" w:hAnsi="宋体" w:cs="宋体"/>
          <w:szCs w:val="21"/>
        </w:rPr>
      </w:pPr>
      <w:r>
        <w:rPr>
          <w:rFonts w:hint="eastAsia" w:ascii="宋体" w:hAnsi="宋体" w:cs="宋体"/>
          <w:szCs w:val="21"/>
        </w:rPr>
        <w:t>联系方式</w:t>
      </w:r>
    </w:p>
    <w:p>
      <w:pPr>
        <w:widowControl/>
        <w:spacing w:line="360" w:lineRule="auto"/>
        <w:ind w:firstLine="420" w:firstLineChars="200"/>
        <w:rPr>
          <w:rFonts w:ascii="宋体" w:hAnsi="宋体" w:cs="宋体"/>
          <w:szCs w:val="21"/>
        </w:rPr>
      </w:pPr>
      <w:r>
        <w:rPr>
          <w:rFonts w:hint="eastAsia" w:ascii="宋体" w:hAnsi="宋体" w:cs="宋体"/>
          <w:szCs w:val="21"/>
        </w:rPr>
        <w:t>（3）甲方应按本合同约定的时间和金额向乙方支付各阶段合同价款。</w:t>
      </w:r>
    </w:p>
    <w:p>
      <w:pPr>
        <w:widowControl/>
        <w:spacing w:line="360" w:lineRule="auto"/>
        <w:ind w:firstLine="420" w:firstLineChars="200"/>
        <w:rPr>
          <w:rFonts w:ascii="宋体" w:hAnsi="宋体" w:cs="宋体"/>
          <w:szCs w:val="21"/>
        </w:rPr>
      </w:pPr>
      <w:r>
        <w:rPr>
          <w:rFonts w:hint="eastAsia" w:ascii="宋体" w:hAnsi="宋体" w:cs="宋体"/>
          <w:szCs w:val="21"/>
        </w:rPr>
        <w:t>七、乙方权利和义务</w:t>
      </w:r>
    </w:p>
    <w:p>
      <w:pPr>
        <w:widowControl/>
        <w:spacing w:line="360" w:lineRule="auto"/>
        <w:ind w:firstLine="420" w:firstLineChars="200"/>
        <w:rPr>
          <w:rFonts w:ascii="宋体" w:hAnsi="宋体" w:cs="宋体"/>
          <w:szCs w:val="21"/>
        </w:rPr>
      </w:pPr>
      <w:r>
        <w:rPr>
          <w:rFonts w:hint="eastAsia" w:ascii="宋体" w:hAnsi="宋体" w:cs="宋体"/>
          <w:szCs w:val="21"/>
        </w:rPr>
        <w:t>1、乙方权利</w:t>
      </w:r>
    </w:p>
    <w:p>
      <w:pPr>
        <w:widowControl/>
        <w:spacing w:line="360" w:lineRule="auto"/>
        <w:ind w:firstLine="420" w:firstLineChars="200"/>
        <w:rPr>
          <w:rFonts w:ascii="宋体" w:hAnsi="宋体" w:cs="宋体"/>
          <w:szCs w:val="21"/>
        </w:rPr>
      </w:pPr>
      <w:r>
        <w:rPr>
          <w:rFonts w:hint="eastAsia" w:ascii="宋体" w:hAnsi="宋体" w:cs="宋体"/>
          <w:szCs w:val="21"/>
        </w:rPr>
        <w:t>（1）乙方有权请求甲方为乙方的工作提供配合和支持。</w:t>
      </w:r>
    </w:p>
    <w:p>
      <w:pPr>
        <w:widowControl/>
        <w:spacing w:line="360" w:lineRule="auto"/>
        <w:ind w:firstLine="420" w:firstLineChars="200"/>
        <w:rPr>
          <w:rFonts w:ascii="宋体" w:hAnsi="宋体" w:cs="宋体"/>
          <w:szCs w:val="21"/>
        </w:rPr>
      </w:pPr>
      <w:r>
        <w:rPr>
          <w:rFonts w:hint="eastAsia" w:ascii="宋体" w:hAnsi="宋体" w:cs="宋体"/>
          <w:szCs w:val="21"/>
        </w:rPr>
        <w:t>（2）参与合同项下相关的工作会议及技术会议（活动）。</w:t>
      </w:r>
    </w:p>
    <w:p>
      <w:pPr>
        <w:widowControl/>
        <w:spacing w:line="360" w:lineRule="auto"/>
        <w:ind w:firstLine="420" w:firstLineChars="200"/>
        <w:rPr>
          <w:rFonts w:ascii="宋体" w:hAnsi="宋体" w:cs="宋体"/>
          <w:szCs w:val="21"/>
        </w:rPr>
      </w:pPr>
      <w:r>
        <w:rPr>
          <w:rFonts w:hint="eastAsia" w:ascii="宋体" w:hAnsi="宋体" w:cs="宋体"/>
          <w:szCs w:val="21"/>
        </w:rPr>
        <w:t>（3）乙方有权按照本合同约定收取服务费用。</w:t>
      </w:r>
    </w:p>
    <w:p>
      <w:pPr>
        <w:widowControl/>
        <w:spacing w:line="360" w:lineRule="auto"/>
        <w:ind w:firstLine="420" w:firstLineChars="200"/>
        <w:rPr>
          <w:rFonts w:ascii="宋体" w:hAnsi="宋体" w:cs="宋体"/>
          <w:szCs w:val="21"/>
        </w:rPr>
      </w:pPr>
      <w:r>
        <w:rPr>
          <w:rFonts w:hint="eastAsia" w:ascii="宋体" w:hAnsi="宋体" w:cs="宋体"/>
          <w:szCs w:val="21"/>
        </w:rPr>
        <w:t>2、乙方义务</w:t>
      </w:r>
    </w:p>
    <w:p>
      <w:pPr>
        <w:widowControl/>
        <w:spacing w:line="360" w:lineRule="auto"/>
        <w:ind w:firstLine="420" w:firstLineChars="200"/>
        <w:rPr>
          <w:rFonts w:ascii="宋体" w:hAnsi="宋体" w:cs="宋体"/>
          <w:szCs w:val="21"/>
        </w:rPr>
      </w:pPr>
      <w:r>
        <w:rPr>
          <w:rFonts w:hint="eastAsia" w:ascii="宋体" w:hAnsi="宋体" w:cs="宋体"/>
          <w:szCs w:val="21"/>
        </w:rPr>
        <w:t>（1）乙方应接受甲方对工作进展的询问、监督和指导，严格按本合同约定的内容、标准和期限完成项目研究工作，并向甲方提交项目研究成果。</w:t>
      </w:r>
    </w:p>
    <w:p>
      <w:pPr>
        <w:widowControl/>
        <w:spacing w:line="360" w:lineRule="auto"/>
        <w:ind w:firstLine="420" w:firstLineChars="200"/>
        <w:rPr>
          <w:rFonts w:ascii="宋体" w:hAnsi="宋体" w:cs="宋体"/>
          <w:szCs w:val="21"/>
        </w:rPr>
      </w:pPr>
      <w:r>
        <w:rPr>
          <w:rFonts w:hint="eastAsia" w:ascii="宋体" w:hAnsi="宋体" w:cs="宋体"/>
          <w:szCs w:val="21"/>
        </w:rPr>
        <w:t>（2）乙方应指派符合甲方要求的项目人员按时保质保量地完成项目</w:t>
      </w:r>
      <w:bookmarkStart w:id="10" w:name="_Hlk32923797"/>
      <w:r>
        <w:rPr>
          <w:rFonts w:hint="eastAsia" w:ascii="宋体" w:hAnsi="宋体" w:cs="宋体"/>
          <w:szCs w:val="21"/>
        </w:rPr>
        <w:t>成果。</w:t>
      </w:r>
      <w:bookmarkEnd w:id="10"/>
    </w:p>
    <w:p>
      <w:pPr>
        <w:widowControl/>
        <w:spacing w:line="360" w:lineRule="auto"/>
        <w:ind w:firstLine="420" w:firstLineChars="200"/>
        <w:rPr>
          <w:rFonts w:ascii="宋体" w:hAnsi="宋体" w:cs="宋体"/>
          <w:szCs w:val="21"/>
        </w:rPr>
      </w:pPr>
      <w:r>
        <w:rPr>
          <w:rFonts w:hint="eastAsia" w:ascii="宋体" w:hAnsi="宋体" w:cs="宋体"/>
          <w:szCs w:val="21"/>
        </w:rPr>
        <w:t>（3）为保证项目成果的质量，乙方在合同履行期间，应按照本项目工作内容要求组织专家队伍，成立课题研究组（详见附件课题研究组名单）。项目负责人负责对项目实施全过程进行组织和指导，并承担课题研究的实质性工作。负责人及相关工作人员名单在甲方确认后如需更换，乙方应事先征得甲方的书面同意，且接替的工作人员的职位、资历、资质应与原定工作人员相当。</w:t>
      </w:r>
    </w:p>
    <w:p>
      <w:pPr>
        <w:widowControl/>
        <w:spacing w:line="360" w:lineRule="auto"/>
        <w:ind w:firstLine="420" w:firstLineChars="200"/>
        <w:rPr>
          <w:rFonts w:ascii="宋体" w:hAnsi="宋体" w:cs="宋体"/>
          <w:szCs w:val="21"/>
        </w:rPr>
      </w:pPr>
      <w:r>
        <w:rPr>
          <w:rFonts w:hint="eastAsia" w:ascii="宋体" w:hAnsi="宋体" w:cs="宋体"/>
          <w:szCs w:val="21"/>
        </w:rPr>
        <w:t>（4）乙方的项目组成员应遵守甲方的制度、时间和工作安排。</w:t>
      </w:r>
    </w:p>
    <w:p>
      <w:pPr>
        <w:widowControl/>
        <w:spacing w:line="360" w:lineRule="auto"/>
        <w:ind w:firstLine="420" w:firstLineChars="200"/>
        <w:rPr>
          <w:rFonts w:ascii="宋体" w:hAnsi="宋体" w:cs="宋体"/>
          <w:szCs w:val="21"/>
        </w:rPr>
      </w:pPr>
      <w:r>
        <w:rPr>
          <w:rFonts w:hint="eastAsia" w:ascii="宋体" w:hAnsi="宋体" w:cs="宋体"/>
          <w:szCs w:val="21"/>
        </w:rPr>
        <w:t>（5）未经甲方事先书面同意，乙方不得将由甲方提供的有关合同或任何合同条文、计划或资料提供给与履行本合同无关的任何其他人。即使向履行本合同有关的人员提供，也应注意保密并限于履行合同的必需范围。</w:t>
      </w:r>
    </w:p>
    <w:p>
      <w:pPr>
        <w:widowControl/>
        <w:spacing w:line="360" w:lineRule="auto"/>
        <w:ind w:firstLine="420" w:firstLineChars="200"/>
        <w:rPr>
          <w:rFonts w:ascii="宋体" w:hAnsi="宋体" w:cs="宋体"/>
          <w:szCs w:val="21"/>
        </w:rPr>
      </w:pPr>
      <w:r>
        <w:rPr>
          <w:rFonts w:hint="eastAsia" w:ascii="宋体" w:hAnsi="宋体" w:cs="宋体"/>
          <w:szCs w:val="21"/>
        </w:rPr>
        <w:t>（6）本合同期满或提前解除、终止后，乙方应将甲方的档案资料、信息数据等交还甲方，并应销毁或删除所有备份。</w:t>
      </w:r>
    </w:p>
    <w:p>
      <w:pPr>
        <w:widowControl/>
        <w:spacing w:line="360" w:lineRule="auto"/>
        <w:ind w:firstLine="420" w:firstLineChars="200"/>
        <w:rPr>
          <w:rFonts w:ascii="宋体" w:hAnsi="宋体" w:cs="宋体"/>
          <w:szCs w:val="21"/>
        </w:rPr>
      </w:pPr>
      <w:r>
        <w:rPr>
          <w:rFonts w:hint="eastAsia" w:ascii="宋体" w:hAnsi="宋体" w:cs="宋体"/>
          <w:szCs w:val="21"/>
        </w:rPr>
        <w:t>（7）乙方对其工作人员在合同履行期间的一切行为负责，期间发生的一切安全事故责任及因此发生的人身损害赔偿和其他费用由乙方自行承担，概与甲方无关。若因乙方工作人员的行为导致甲方支付相应赔偿费用，乙方应当全部偿还给甲方。</w:t>
      </w:r>
    </w:p>
    <w:p>
      <w:pPr>
        <w:pStyle w:val="2"/>
        <w:ind w:firstLine="420" w:firstLineChars="200"/>
        <w:rPr>
          <w:rFonts w:ascii="宋体" w:hAnsi="宋体" w:cs="宋体"/>
          <w:b w:val="0"/>
          <w:bCs w:val="0"/>
          <w:sz w:val="21"/>
          <w:szCs w:val="21"/>
        </w:rPr>
      </w:pPr>
      <w:r>
        <w:rPr>
          <w:rFonts w:hint="eastAsia" w:ascii="宋体" w:hAnsi="宋体" w:cs="宋体"/>
          <w:b w:val="0"/>
          <w:bCs w:val="0"/>
          <w:sz w:val="21"/>
          <w:szCs w:val="21"/>
        </w:rPr>
        <w:t>（8）乙方应采取必要措施配合专家评审会及甲方验收人员的工作,对于评审验收过程中发现的问题，乙方应在发现问题之日起3天内进行改正，以符合甲方的需要。</w:t>
      </w:r>
    </w:p>
    <w:p>
      <w:pPr>
        <w:widowControl/>
        <w:spacing w:line="360" w:lineRule="auto"/>
        <w:ind w:firstLine="420" w:firstLineChars="200"/>
        <w:rPr>
          <w:rFonts w:ascii="宋体" w:hAnsi="宋体" w:cs="宋体"/>
          <w:szCs w:val="21"/>
        </w:rPr>
      </w:pPr>
      <w:r>
        <w:rPr>
          <w:rFonts w:hint="eastAsia" w:ascii="宋体" w:hAnsi="宋体" w:cs="宋体"/>
          <w:szCs w:val="21"/>
        </w:rPr>
        <w:t>（9）乙方应独立完成本项目。未经甲方书面在先同意，乙方不得向任何第三方全部或部分转让本项目。</w:t>
      </w:r>
    </w:p>
    <w:p>
      <w:pPr>
        <w:widowControl/>
        <w:spacing w:line="360" w:lineRule="auto"/>
        <w:ind w:firstLine="420" w:firstLineChars="200"/>
        <w:rPr>
          <w:rFonts w:ascii="宋体" w:hAnsi="宋体" w:cs="宋体"/>
          <w:szCs w:val="21"/>
        </w:rPr>
      </w:pPr>
      <w:r>
        <w:rPr>
          <w:rFonts w:hint="eastAsia" w:ascii="宋体" w:hAnsi="宋体" w:cs="宋体"/>
          <w:szCs w:val="21"/>
        </w:rPr>
        <w:t>（10）乙方有维护甲方声誉的义务，乙方不能以甲方名义从事与本项目无关的任何事务，否则甲方有权追究其相关责任。</w:t>
      </w:r>
    </w:p>
    <w:p>
      <w:pPr>
        <w:widowControl/>
        <w:spacing w:line="360" w:lineRule="auto"/>
        <w:ind w:firstLine="420" w:firstLineChars="200"/>
        <w:rPr>
          <w:rFonts w:ascii="宋体" w:hAnsi="宋体" w:cs="宋体"/>
          <w:szCs w:val="21"/>
        </w:rPr>
      </w:pPr>
      <w:r>
        <w:rPr>
          <w:rFonts w:hint="eastAsia" w:ascii="宋体" w:hAnsi="宋体" w:cs="宋体"/>
          <w:szCs w:val="21"/>
        </w:rPr>
        <w:t>（11）如乙方所提供的研究成果不符合本合同要求，包括但不限于存在不具备实操性或实操性过低，影响本项目最终规划、研究和设计成果文件的质量等情况，在收到甲方要求重新执行相应的工作服务的通知后，乙方应当按照甲方的要求重新执行相应的工作服务，由此产生的全部费用由乙方自行承担。</w:t>
      </w:r>
    </w:p>
    <w:p>
      <w:pPr>
        <w:widowControl/>
        <w:spacing w:line="360" w:lineRule="auto"/>
        <w:ind w:firstLine="420" w:firstLineChars="200"/>
        <w:rPr>
          <w:rFonts w:ascii="宋体" w:hAnsi="宋体" w:cs="宋体"/>
          <w:szCs w:val="21"/>
        </w:rPr>
      </w:pPr>
      <w:r>
        <w:rPr>
          <w:rFonts w:hint="eastAsia" w:ascii="宋体" w:hAnsi="宋体" w:cs="宋体"/>
          <w:szCs w:val="21"/>
        </w:rPr>
        <w:t>（12）乙方在完成本项目过程中，不得损害其他任何第三方的知识产权等合法权益，否则由此造成的相关责任应当由乙方自行承担，与甲方无关。</w:t>
      </w:r>
    </w:p>
    <w:p>
      <w:pPr>
        <w:widowControl/>
        <w:spacing w:line="360" w:lineRule="auto"/>
        <w:ind w:firstLine="420" w:firstLineChars="200"/>
        <w:rPr>
          <w:rFonts w:ascii="宋体" w:hAnsi="宋体" w:cs="宋体"/>
          <w:szCs w:val="21"/>
        </w:rPr>
      </w:pPr>
      <w:r>
        <w:rPr>
          <w:rFonts w:hint="eastAsia" w:ascii="宋体" w:hAnsi="宋体" w:cs="宋体"/>
          <w:szCs w:val="21"/>
        </w:rPr>
        <w:t>八、项目变更</w:t>
      </w:r>
    </w:p>
    <w:p>
      <w:pPr>
        <w:widowControl/>
        <w:spacing w:line="360" w:lineRule="auto"/>
        <w:ind w:firstLine="420" w:firstLineChars="200"/>
        <w:rPr>
          <w:rFonts w:ascii="宋体" w:hAnsi="宋体" w:cs="宋体"/>
          <w:szCs w:val="21"/>
        </w:rPr>
      </w:pPr>
      <w:r>
        <w:rPr>
          <w:rFonts w:hint="eastAsia" w:ascii="宋体" w:hAnsi="宋体" w:cs="宋体"/>
          <w:szCs w:val="21"/>
        </w:rPr>
        <w:t>1.本合同履行过程中的需求变更和进度调整，以甲乙双方达成一致的书面文件为准。</w:t>
      </w:r>
    </w:p>
    <w:p>
      <w:pPr>
        <w:widowControl/>
        <w:spacing w:line="360" w:lineRule="auto"/>
        <w:ind w:firstLine="420" w:firstLineChars="200"/>
        <w:rPr>
          <w:rFonts w:ascii="宋体" w:hAnsi="宋体" w:cs="宋体"/>
          <w:szCs w:val="21"/>
        </w:rPr>
      </w:pPr>
      <w:r>
        <w:rPr>
          <w:rFonts w:hint="eastAsia" w:ascii="宋体" w:hAnsi="宋体" w:cs="宋体"/>
          <w:szCs w:val="21"/>
        </w:rPr>
        <w:t>2.乙方遇到不能按期完工的情况，应及时以书面形式将不能按时完工的理由、延误时间通知甲方。甲方在收到乙方通知后，根据情况决定是否延长完成时间。如同意延长，则乙方责任期也相应延长。</w:t>
      </w:r>
    </w:p>
    <w:p>
      <w:pPr>
        <w:widowControl/>
        <w:spacing w:line="360" w:lineRule="auto"/>
        <w:ind w:firstLine="420" w:firstLineChars="200"/>
        <w:rPr>
          <w:rFonts w:ascii="宋体" w:hAnsi="宋体" w:cs="宋体"/>
          <w:szCs w:val="21"/>
        </w:rPr>
      </w:pPr>
      <w:r>
        <w:rPr>
          <w:rFonts w:hint="eastAsia" w:ascii="宋体" w:hAnsi="宋体" w:cs="宋体"/>
          <w:szCs w:val="21"/>
        </w:rPr>
        <w:t>3.因非乙方责任造成项目进度推迟或延误，无法按照合同约定的日期完成相应的项目，双方经过协商可以进一步约定完成的日期，乙方的责任期也随之顺延。</w:t>
      </w:r>
    </w:p>
    <w:p>
      <w:pPr>
        <w:widowControl/>
        <w:spacing w:line="360" w:lineRule="auto"/>
        <w:ind w:firstLine="420" w:firstLineChars="200"/>
        <w:rPr>
          <w:rFonts w:ascii="宋体" w:hAnsi="宋体" w:cs="宋体"/>
          <w:szCs w:val="21"/>
        </w:rPr>
      </w:pPr>
      <w:r>
        <w:rPr>
          <w:rFonts w:hint="eastAsia" w:ascii="宋体" w:hAnsi="宋体" w:cs="宋体"/>
          <w:szCs w:val="21"/>
        </w:rPr>
        <w:t>4.在合同所约定的工作范畴内的服务，本合同价格不予变更。</w:t>
      </w:r>
    </w:p>
    <w:p>
      <w:pPr>
        <w:widowControl/>
        <w:spacing w:line="360" w:lineRule="auto"/>
        <w:ind w:firstLine="420" w:firstLineChars="200"/>
        <w:rPr>
          <w:rFonts w:ascii="宋体" w:hAnsi="宋体" w:cs="宋体"/>
          <w:szCs w:val="21"/>
        </w:rPr>
      </w:pPr>
      <w:r>
        <w:rPr>
          <w:rFonts w:hint="eastAsia" w:ascii="宋体" w:hAnsi="宋体" w:cs="宋体"/>
          <w:szCs w:val="21"/>
        </w:rPr>
        <w:t>九、成果归属</w:t>
      </w:r>
    </w:p>
    <w:p>
      <w:pPr>
        <w:widowControl/>
        <w:spacing w:line="360" w:lineRule="auto"/>
        <w:ind w:firstLine="420" w:firstLineChars="200"/>
        <w:rPr>
          <w:rFonts w:ascii="宋体" w:hAnsi="宋体" w:cs="宋体"/>
          <w:szCs w:val="21"/>
        </w:rPr>
      </w:pPr>
      <w:r>
        <w:rPr>
          <w:rFonts w:hint="eastAsia" w:ascii="宋体" w:hAnsi="宋体" w:cs="宋体"/>
          <w:szCs w:val="21"/>
        </w:rPr>
        <w:t>1.双方对本合同有关的知识产权以及与之相关的所有权利归属约定如下：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pPr>
        <w:widowControl/>
        <w:spacing w:line="360" w:lineRule="auto"/>
        <w:ind w:firstLine="420" w:firstLineChars="200"/>
        <w:rPr>
          <w:rFonts w:ascii="宋体" w:hAnsi="宋体" w:cs="宋体"/>
          <w:szCs w:val="21"/>
        </w:rPr>
      </w:pPr>
      <w:r>
        <w:rPr>
          <w:rFonts w:hint="eastAsia" w:ascii="宋体" w:hAnsi="宋体" w:cs="宋体"/>
          <w:szCs w:val="21"/>
        </w:rPr>
        <w:t>2.双方确定，甲方有权对乙方按照本合同约定提供的成果进行后续改进。由此产生的具有实质性或创造性技术进步特征的新的技术成果及其权利全部由甲方享有。</w:t>
      </w:r>
    </w:p>
    <w:p>
      <w:pPr>
        <w:widowControl/>
        <w:spacing w:line="360" w:lineRule="auto"/>
        <w:ind w:firstLine="420" w:firstLineChars="200"/>
        <w:rPr>
          <w:rFonts w:ascii="宋体" w:hAnsi="宋体" w:cs="宋体"/>
          <w:szCs w:val="21"/>
        </w:rPr>
      </w:pPr>
      <w:r>
        <w:rPr>
          <w:rFonts w:hint="eastAsia" w:ascii="宋体" w:hAnsi="宋体" w:cs="宋体"/>
          <w:szCs w:val="21"/>
        </w:rPr>
        <w:t>3.乙方所提交的全部阶段性成果和最终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20" w:firstLineChars="200"/>
        <w:rPr>
          <w:rFonts w:ascii="宋体" w:hAnsi="宋体" w:cs="宋体"/>
          <w:szCs w:val="21"/>
        </w:rPr>
      </w:pPr>
      <w:r>
        <w:rPr>
          <w:rFonts w:hint="eastAsia" w:ascii="宋体" w:hAnsi="宋体" w:cs="宋体"/>
          <w:szCs w:val="21"/>
        </w:rPr>
        <w:t>4.未经甲方书面在先同意，乙方不得将本项目的阶段性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widowControl/>
        <w:spacing w:line="360" w:lineRule="auto"/>
        <w:ind w:firstLine="420" w:firstLineChars="200"/>
        <w:rPr>
          <w:rFonts w:ascii="宋体" w:hAnsi="宋体" w:cs="宋体"/>
          <w:szCs w:val="21"/>
        </w:rPr>
      </w:pPr>
      <w:r>
        <w:rPr>
          <w:rFonts w:hint="eastAsia" w:ascii="宋体" w:hAnsi="宋体" w:cs="宋体"/>
          <w:szCs w:val="21"/>
        </w:rPr>
        <w:t>5.乙方完成本合同项目的研究人员享有在有关技术成果文件上写明技术成果完成者的权利和与甲方共同获得有关荣誉证书、奖励的权利。</w:t>
      </w:r>
    </w:p>
    <w:p>
      <w:pPr>
        <w:widowControl/>
        <w:spacing w:line="360" w:lineRule="auto"/>
        <w:ind w:firstLine="420" w:firstLineChars="200"/>
        <w:rPr>
          <w:rFonts w:ascii="宋体" w:hAnsi="宋体" w:cs="宋体"/>
          <w:szCs w:val="21"/>
        </w:rPr>
      </w:pPr>
      <w:r>
        <w:rPr>
          <w:rFonts w:hint="eastAsia" w:ascii="宋体" w:hAnsi="宋体" w:cs="宋体"/>
          <w:szCs w:val="21"/>
        </w:rPr>
        <w:t>十、保密条款</w:t>
      </w:r>
    </w:p>
    <w:p>
      <w:pPr>
        <w:widowControl/>
        <w:spacing w:line="360" w:lineRule="auto"/>
        <w:ind w:firstLine="420" w:firstLineChars="200"/>
        <w:rPr>
          <w:rFonts w:ascii="宋体" w:hAnsi="宋体" w:cs="宋体"/>
          <w:szCs w:val="21"/>
        </w:rPr>
      </w:pPr>
      <w:bookmarkStart w:id="11" w:name="_Toc216520223"/>
      <w:r>
        <w:rPr>
          <w:rFonts w:hint="eastAsia" w:ascii="宋体" w:hAnsi="宋体" w:cs="宋体"/>
          <w:szCs w:val="21"/>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11"/>
    </w:p>
    <w:p>
      <w:pPr>
        <w:widowControl/>
        <w:spacing w:line="360" w:lineRule="auto"/>
        <w:ind w:firstLine="420" w:firstLineChars="200"/>
        <w:rPr>
          <w:rFonts w:ascii="宋体" w:hAnsi="宋体" w:cs="宋体"/>
          <w:szCs w:val="21"/>
        </w:rPr>
      </w:pPr>
      <w:r>
        <w:rPr>
          <w:rFonts w:hint="eastAsia" w:ascii="宋体" w:hAnsi="宋体" w:cs="宋体"/>
          <w:szCs w:val="21"/>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20" w:firstLineChars="200"/>
        <w:rPr>
          <w:rFonts w:ascii="宋体" w:hAnsi="宋体" w:cs="宋体"/>
          <w:szCs w:val="21"/>
        </w:rPr>
      </w:pPr>
      <w:r>
        <w:rPr>
          <w:rFonts w:hint="eastAsia" w:ascii="宋体" w:hAnsi="宋体" w:cs="宋体"/>
          <w:szCs w:val="21"/>
        </w:rPr>
        <w:t>3.乙方应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书面在先同意，乙方不得向任何第三方透露任何有关本项目的内容，或公开任何项目阶段性成果或最终成果。即使向履行本合同有关的人员提供前述保密信息，也应限于履行合同的必需范围，且这些人员应接受至少与本条款同等严格的保密条款的约束。4.乙方实施项目的程序应符合国家安全、保密的有关规定和标准。</w:t>
      </w:r>
    </w:p>
    <w:p>
      <w:pPr>
        <w:widowControl/>
        <w:spacing w:line="360" w:lineRule="auto"/>
        <w:ind w:firstLine="420" w:firstLineChars="200"/>
        <w:rPr>
          <w:rFonts w:ascii="宋体" w:hAnsi="宋体" w:cs="宋体"/>
          <w:szCs w:val="21"/>
        </w:rPr>
      </w:pPr>
      <w:bookmarkStart w:id="12" w:name="_Toc216520224"/>
      <w:r>
        <w:rPr>
          <w:rFonts w:hint="eastAsia" w:ascii="宋体" w:hAnsi="宋体" w:cs="宋体"/>
          <w:szCs w:val="21"/>
        </w:rPr>
        <w:t>5.</w:t>
      </w:r>
      <w:bookmarkEnd w:id="12"/>
      <w:bookmarkStart w:id="13" w:name="_Toc216520226"/>
      <w:r>
        <w:rPr>
          <w:rFonts w:hint="eastAsia" w:ascii="宋体" w:hAnsi="宋体" w:cs="宋体"/>
          <w:szCs w:val="21"/>
        </w:rPr>
        <w:t>上述保密义务不适用以下情况：</w:t>
      </w:r>
      <w:bookmarkEnd w:id="13"/>
    </w:p>
    <w:p>
      <w:pPr>
        <w:widowControl/>
        <w:spacing w:line="360" w:lineRule="auto"/>
        <w:ind w:firstLine="420" w:firstLineChars="200"/>
        <w:rPr>
          <w:rFonts w:ascii="宋体" w:hAnsi="宋体" w:cs="宋体"/>
          <w:szCs w:val="21"/>
        </w:rPr>
      </w:pPr>
      <w:r>
        <w:rPr>
          <w:rFonts w:hint="eastAsia" w:ascii="宋体" w:hAnsi="宋体" w:cs="宋体"/>
          <w:szCs w:val="21"/>
        </w:rPr>
        <w:t>（1）获取的信息已被合法公开；</w:t>
      </w:r>
    </w:p>
    <w:p>
      <w:pPr>
        <w:widowControl/>
        <w:spacing w:line="360" w:lineRule="auto"/>
        <w:ind w:firstLine="420" w:firstLineChars="200"/>
        <w:rPr>
          <w:rFonts w:ascii="宋体" w:hAnsi="宋体" w:cs="宋体"/>
          <w:szCs w:val="21"/>
        </w:rPr>
      </w:pPr>
      <w:r>
        <w:rPr>
          <w:rFonts w:hint="eastAsia" w:ascii="宋体" w:hAnsi="宋体" w:cs="宋体"/>
          <w:szCs w:val="21"/>
        </w:rPr>
        <w:t>（2）获得信息拥有方书面许可并在该许可范围内披露；</w:t>
      </w:r>
    </w:p>
    <w:p>
      <w:pPr>
        <w:widowControl/>
        <w:spacing w:line="360" w:lineRule="auto"/>
        <w:ind w:firstLine="420" w:firstLineChars="200"/>
        <w:rPr>
          <w:rFonts w:ascii="宋体" w:hAnsi="宋体" w:cs="宋体"/>
          <w:szCs w:val="21"/>
        </w:rPr>
      </w:pPr>
      <w:r>
        <w:rPr>
          <w:rFonts w:hint="eastAsia" w:ascii="宋体" w:hAnsi="宋体" w:cs="宋体"/>
          <w:szCs w:val="21"/>
        </w:rPr>
        <w:t>（3）国家法律、法规规定的情形。</w:t>
      </w:r>
    </w:p>
    <w:p>
      <w:pPr>
        <w:widowControl/>
        <w:spacing w:line="360" w:lineRule="auto"/>
        <w:ind w:firstLine="420" w:firstLineChars="200"/>
        <w:rPr>
          <w:rFonts w:ascii="宋体" w:hAnsi="宋体" w:cs="宋体"/>
          <w:szCs w:val="21"/>
        </w:rPr>
      </w:pPr>
      <w:r>
        <w:rPr>
          <w:rFonts w:hint="eastAsia" w:ascii="宋体" w:hAnsi="宋体" w:cs="宋体"/>
          <w:szCs w:val="21"/>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widowControl/>
        <w:spacing w:line="360" w:lineRule="auto"/>
        <w:ind w:firstLine="420" w:firstLineChars="200"/>
        <w:rPr>
          <w:rFonts w:ascii="宋体" w:hAnsi="宋体" w:cs="宋体"/>
          <w:szCs w:val="21"/>
        </w:rPr>
      </w:pPr>
      <w:r>
        <w:rPr>
          <w:rFonts w:hint="eastAsia" w:ascii="宋体" w:hAnsi="宋体" w:cs="宋体"/>
          <w:szCs w:val="21"/>
        </w:rPr>
        <w:t>7.无论本合同或本合同其他条款是否有效，本保密条款始终约束双方。国家秘密的保密期限由国家有关部门确定，工作秘密的保密期限由甲方确定。</w:t>
      </w:r>
    </w:p>
    <w:p>
      <w:pPr>
        <w:widowControl/>
        <w:spacing w:line="360" w:lineRule="auto"/>
        <w:ind w:firstLine="420" w:firstLineChars="200"/>
        <w:rPr>
          <w:rFonts w:ascii="宋体" w:hAnsi="宋体" w:cs="宋体"/>
          <w:szCs w:val="21"/>
        </w:rPr>
      </w:pPr>
      <w:r>
        <w:rPr>
          <w:rFonts w:hint="eastAsia" w:ascii="宋体" w:hAnsi="宋体" w:cs="宋体"/>
          <w:szCs w:val="21"/>
        </w:rPr>
        <w:t>十一、合同的提前终止</w:t>
      </w:r>
    </w:p>
    <w:p>
      <w:pPr>
        <w:widowControl/>
        <w:spacing w:line="360" w:lineRule="auto"/>
        <w:ind w:firstLine="420" w:firstLineChars="200"/>
        <w:rPr>
          <w:rFonts w:ascii="宋体" w:hAnsi="宋体" w:cs="宋体"/>
          <w:szCs w:val="21"/>
        </w:rPr>
      </w:pPr>
      <w:r>
        <w:rPr>
          <w:rFonts w:hint="eastAsia" w:ascii="宋体" w:hAnsi="宋体" w:cs="宋体"/>
          <w:szCs w:val="21"/>
        </w:rPr>
        <w:t>1.双方协商同意提前终止本合同的，按双方协商约定的方式进行清算执行。</w:t>
      </w:r>
    </w:p>
    <w:p>
      <w:pPr>
        <w:widowControl/>
        <w:spacing w:line="360" w:lineRule="auto"/>
        <w:ind w:firstLine="420" w:firstLineChars="200"/>
        <w:rPr>
          <w:rFonts w:ascii="宋体" w:hAnsi="宋体" w:cs="宋体"/>
          <w:szCs w:val="21"/>
        </w:rPr>
      </w:pPr>
      <w:r>
        <w:rPr>
          <w:rFonts w:hint="eastAsia" w:ascii="宋体" w:hAnsi="宋体" w:cs="宋体"/>
          <w:szCs w:val="21"/>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bidi="ar"/>
        </w:rPr>
        <w:t>有下列情形之一的，本合同自甲方向乙方发出书面通知之日起终止：</w:t>
      </w:r>
    </w:p>
    <w:p>
      <w:pPr>
        <w:spacing w:line="360" w:lineRule="auto"/>
        <w:ind w:firstLine="420" w:firstLineChars="200"/>
        <w:rPr>
          <w:rFonts w:ascii="宋体" w:hAnsi="宋体" w:cs="宋体"/>
          <w:szCs w:val="21"/>
        </w:rPr>
      </w:pPr>
      <w:r>
        <w:rPr>
          <w:rFonts w:hint="eastAsia" w:ascii="宋体" w:hAnsi="宋体" w:cs="宋体"/>
          <w:szCs w:val="21"/>
          <w:lang w:bidi="ar"/>
        </w:rPr>
        <w:t>（1）甲方的职能发生转变，不再具有委托职能。</w:t>
      </w:r>
    </w:p>
    <w:p>
      <w:pPr>
        <w:spacing w:line="360" w:lineRule="auto"/>
        <w:ind w:firstLine="420" w:firstLineChars="200"/>
        <w:rPr>
          <w:rFonts w:ascii="宋体" w:hAnsi="宋体" w:cs="宋体"/>
          <w:szCs w:val="21"/>
        </w:rPr>
      </w:pPr>
      <w:r>
        <w:rPr>
          <w:rFonts w:hint="eastAsia" w:ascii="宋体" w:hAnsi="宋体" w:cs="宋体"/>
          <w:szCs w:val="21"/>
          <w:lang w:bidi="ar"/>
        </w:rPr>
        <w:t>（2）本合同签订时适用的法律法规或政策发生变化，且对本合同的继续履行造成重大影响。</w:t>
      </w:r>
    </w:p>
    <w:p>
      <w:pPr>
        <w:spacing w:line="360" w:lineRule="auto"/>
        <w:ind w:firstLine="420" w:firstLineChars="200"/>
        <w:rPr>
          <w:rFonts w:ascii="宋体" w:hAnsi="宋体" w:cs="宋体"/>
          <w:szCs w:val="21"/>
        </w:rPr>
      </w:pPr>
      <w:r>
        <w:rPr>
          <w:rFonts w:hint="eastAsia" w:ascii="宋体" w:hAnsi="宋体" w:cs="宋体"/>
          <w:szCs w:val="21"/>
          <w:lang w:bidi="ar"/>
        </w:rPr>
        <w:t>发生以上情形，甲方已向乙方支付的款项不退还，尚未支付的款项不再支付，同时乙方应向甲方提交在合同终止日前完成的所有项目文件和相关资料。</w:t>
      </w:r>
    </w:p>
    <w:p>
      <w:pPr>
        <w:widowControl/>
        <w:spacing w:line="360" w:lineRule="auto"/>
        <w:ind w:firstLine="420" w:firstLineChars="200"/>
        <w:rPr>
          <w:rFonts w:ascii="宋体" w:hAnsi="宋体" w:cs="宋体"/>
          <w:szCs w:val="21"/>
        </w:rPr>
      </w:pPr>
      <w:r>
        <w:rPr>
          <w:rFonts w:hint="eastAsia" w:ascii="宋体" w:hAnsi="宋体" w:cs="宋体"/>
          <w:szCs w:val="21"/>
        </w:rPr>
        <w:t>4.如发生不可抗力或其他超出合同双方控制的事件，致使一方无法履行合同，本合同解除。</w:t>
      </w:r>
    </w:p>
    <w:p>
      <w:pPr>
        <w:widowControl/>
        <w:spacing w:line="360" w:lineRule="auto"/>
        <w:ind w:firstLine="420" w:firstLineChars="200"/>
        <w:rPr>
          <w:rFonts w:ascii="宋体" w:hAnsi="宋体" w:cs="宋体"/>
          <w:szCs w:val="21"/>
        </w:rPr>
      </w:pPr>
      <w:r>
        <w:rPr>
          <w:rFonts w:hint="eastAsia" w:ascii="宋体" w:hAnsi="宋体" w:cs="宋体"/>
          <w:szCs w:val="21"/>
        </w:rPr>
        <w:t>（1）本合同所称不可抗力是指自然灾害、战争、地震突发事件等不可预见、不可避免、不可克服的情况。不可抗力事件发生后，乙方应立即通知甲方，并在力所能及的条件下迅速采取措施，尽力减少损失，甲方应协助乙方采取措施。不可抗力事件结束后48小时内乙方向甲方通报受影响情况。如不可抗力事件持续发生，乙方应每隔7天向甲方报告一次受影响情况。不可抗力事件结束后14天内，乙方应向甲方提交正式报告及有关部门开具的证明材料。</w:t>
      </w:r>
    </w:p>
    <w:p>
      <w:pPr>
        <w:widowControl/>
        <w:spacing w:line="360" w:lineRule="auto"/>
        <w:ind w:firstLine="420" w:firstLineChars="200"/>
        <w:rPr>
          <w:rFonts w:ascii="宋体" w:hAnsi="宋体" w:cs="宋体"/>
          <w:szCs w:val="21"/>
        </w:rPr>
      </w:pPr>
      <w:r>
        <w:rPr>
          <w:rFonts w:hint="eastAsia" w:ascii="宋体" w:hAnsi="宋体" w:cs="宋体"/>
          <w:szCs w:val="21"/>
        </w:rPr>
        <w:t>（2）发生不可抗力，甲乙双方承担各自的损失。由于其中一方延迟履行合同义务后发生不可抗力的，不能免除责任。</w:t>
      </w:r>
    </w:p>
    <w:p>
      <w:pPr>
        <w:widowControl/>
        <w:spacing w:line="360" w:lineRule="auto"/>
        <w:ind w:firstLine="420" w:firstLineChars="200"/>
        <w:rPr>
          <w:rFonts w:ascii="宋体" w:hAnsi="宋体" w:cs="宋体"/>
          <w:szCs w:val="21"/>
        </w:rPr>
      </w:pPr>
      <w:r>
        <w:rPr>
          <w:rFonts w:hint="eastAsia" w:ascii="宋体" w:hAnsi="宋体" w:cs="宋体"/>
          <w:szCs w:val="21"/>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widowControl/>
        <w:spacing w:line="360" w:lineRule="auto"/>
        <w:ind w:firstLine="420" w:firstLineChars="200"/>
        <w:rPr>
          <w:rFonts w:ascii="宋体" w:hAnsi="宋体" w:cs="宋体"/>
          <w:szCs w:val="21"/>
        </w:rPr>
      </w:pPr>
      <w:r>
        <w:rPr>
          <w:rFonts w:hint="eastAsia" w:ascii="宋体" w:hAnsi="宋体" w:cs="宋体"/>
          <w:szCs w:val="21"/>
        </w:rPr>
        <w:t>十二、违约责任</w:t>
      </w:r>
    </w:p>
    <w:p>
      <w:pPr>
        <w:widowControl/>
        <w:spacing w:line="360" w:lineRule="auto"/>
        <w:ind w:firstLine="420" w:firstLineChars="200"/>
        <w:rPr>
          <w:rFonts w:ascii="宋体" w:hAnsi="宋体" w:cs="宋体"/>
          <w:szCs w:val="21"/>
        </w:rPr>
      </w:pPr>
      <w:r>
        <w:rPr>
          <w:rFonts w:hint="eastAsia" w:ascii="宋体" w:hAnsi="宋体" w:cs="宋体"/>
          <w:szCs w:val="21"/>
        </w:rPr>
        <w:t>1.如乙方未按照本合同约定的时间完成本项目各阶段工作，每延迟一日，甲方有权自尚未支付的合同款项中扣除合同总价款1‰的逾期违约金。</w:t>
      </w:r>
    </w:p>
    <w:p>
      <w:pPr>
        <w:widowControl/>
        <w:spacing w:line="360" w:lineRule="auto"/>
        <w:ind w:firstLine="420" w:firstLineChars="200"/>
        <w:rPr>
          <w:rFonts w:ascii="宋体" w:hAnsi="宋体" w:cs="宋体"/>
          <w:szCs w:val="21"/>
        </w:rPr>
      </w:pPr>
      <w:r>
        <w:rPr>
          <w:rFonts w:hint="eastAsia" w:ascii="宋体" w:hAnsi="宋体" w:cs="宋体"/>
          <w:szCs w:val="21"/>
        </w:rPr>
        <w:t>2.本合同履行期间，发生下述情形时，甲方有权解除本合同，乙方除应退还甲方已支付的全部款项外, 还应在合同解除通知发出之日起10日内向甲方支付合同总价款20%的违约金：</w:t>
      </w:r>
    </w:p>
    <w:p>
      <w:pPr>
        <w:widowControl/>
        <w:spacing w:line="360" w:lineRule="auto"/>
        <w:ind w:firstLine="420" w:firstLineChars="200"/>
        <w:rPr>
          <w:rFonts w:ascii="宋体" w:hAnsi="宋体" w:cs="宋体"/>
          <w:szCs w:val="21"/>
        </w:rPr>
      </w:pPr>
      <w:r>
        <w:rPr>
          <w:rFonts w:hint="eastAsia" w:ascii="宋体" w:hAnsi="宋体" w:cs="宋体"/>
          <w:szCs w:val="21"/>
        </w:rPr>
        <w:t>（1）乙方未能按合同约定的日期(含协商延缓的日期)提交各阶段成果或最终成果，延误时间超过15个工作日；</w:t>
      </w:r>
    </w:p>
    <w:p>
      <w:pPr>
        <w:widowControl/>
        <w:spacing w:line="360" w:lineRule="auto"/>
        <w:ind w:firstLine="420" w:firstLineChars="200"/>
        <w:rPr>
          <w:rFonts w:ascii="宋体" w:hAnsi="宋体" w:cs="宋体"/>
          <w:szCs w:val="21"/>
        </w:rPr>
      </w:pPr>
      <w:r>
        <w:rPr>
          <w:rFonts w:hint="eastAsia" w:ascii="宋体" w:hAnsi="宋体" w:cs="宋体"/>
          <w:szCs w:val="21"/>
        </w:rPr>
        <w:t>（2）因乙方工作的错误或遗漏造成</w:t>
      </w:r>
      <w:r>
        <w:rPr>
          <w:rFonts w:ascii="宋体" w:hAnsi="宋体"/>
          <w:szCs w:val="21"/>
        </w:rPr>
        <w:t>成果质量损失，</w:t>
      </w:r>
      <w:r>
        <w:rPr>
          <w:rFonts w:hint="eastAsia" w:ascii="宋体" w:hAnsi="宋体"/>
          <w:szCs w:val="21"/>
          <w:lang w:val="zh-CN"/>
        </w:rPr>
        <w:t>工作成果质量低劣，不能满足合同要求要求</w:t>
      </w:r>
      <w:r>
        <w:rPr>
          <w:rFonts w:hint="eastAsia" w:ascii="宋体" w:hAnsi="宋体" w:cs="宋体"/>
          <w:szCs w:val="21"/>
        </w:rPr>
        <w:t>；</w:t>
      </w:r>
    </w:p>
    <w:p>
      <w:pPr>
        <w:widowControl/>
        <w:spacing w:line="360" w:lineRule="auto"/>
        <w:ind w:firstLine="420" w:firstLineChars="200"/>
        <w:rPr>
          <w:rFonts w:ascii="宋体" w:hAnsi="宋体" w:cs="宋体"/>
          <w:szCs w:val="21"/>
        </w:rPr>
      </w:pPr>
      <w:r>
        <w:rPr>
          <w:rFonts w:hint="eastAsia" w:ascii="宋体" w:hAnsi="宋体" w:cs="宋体"/>
          <w:szCs w:val="21"/>
        </w:rPr>
        <w:t>（3）乙方虽如期阶段性成果和最终成果，但连续二次未能通过</w:t>
      </w:r>
      <w:r>
        <w:rPr>
          <w:rFonts w:hint="eastAsia" w:ascii="宋体" w:hAnsi="宋体"/>
          <w:szCs w:val="21"/>
        </w:rPr>
        <w:t>专家评审会评审</w:t>
      </w:r>
      <w:r>
        <w:rPr>
          <w:rFonts w:hint="eastAsia" w:ascii="宋体" w:hAnsi="宋体" w:cs="宋体"/>
          <w:szCs w:val="21"/>
        </w:rPr>
        <w:t>验收的；</w:t>
      </w:r>
    </w:p>
    <w:p>
      <w:pPr>
        <w:widowControl/>
        <w:spacing w:line="360" w:lineRule="auto"/>
        <w:ind w:firstLine="420" w:firstLineChars="200"/>
        <w:rPr>
          <w:rFonts w:ascii="宋体" w:hAnsi="宋体" w:cs="宋体"/>
          <w:szCs w:val="21"/>
        </w:rPr>
      </w:pPr>
      <w:r>
        <w:rPr>
          <w:rFonts w:hint="eastAsia" w:ascii="宋体" w:hAnsi="宋体" w:cs="宋体"/>
          <w:szCs w:val="21"/>
        </w:rPr>
        <w:t>（4）未经甲方书面在先同意，乙方擅自将本合同项目与任何第三方合作，或将本合同标的全部或部分擅自转包或分包给任何第三方，且未按甲方的要求终止与第三方的协议的；</w:t>
      </w:r>
    </w:p>
    <w:p>
      <w:pPr>
        <w:widowControl/>
        <w:spacing w:line="360" w:lineRule="auto"/>
        <w:ind w:firstLine="420" w:firstLineChars="200"/>
        <w:rPr>
          <w:rFonts w:ascii="宋体" w:hAnsi="宋体" w:cs="宋体"/>
          <w:szCs w:val="21"/>
        </w:rPr>
      </w:pPr>
      <w:r>
        <w:rPr>
          <w:rFonts w:hint="eastAsia" w:ascii="宋体" w:hAnsi="宋体" w:cs="宋体"/>
          <w:szCs w:val="21"/>
        </w:rPr>
        <w:t>（5）项目负责人未承担本合同项目实质性工作，或未经甲方书面在先同意，乙方擅自更换项目负责人的；</w:t>
      </w:r>
    </w:p>
    <w:p>
      <w:pPr>
        <w:widowControl/>
        <w:spacing w:line="360" w:lineRule="auto"/>
        <w:ind w:firstLine="420" w:firstLineChars="200"/>
        <w:rPr>
          <w:rFonts w:ascii="宋体" w:hAnsi="宋体" w:cs="宋体"/>
          <w:szCs w:val="21"/>
        </w:rPr>
      </w:pPr>
      <w:r>
        <w:rPr>
          <w:rFonts w:hint="eastAsia" w:ascii="宋体" w:hAnsi="宋体" w:cs="宋体"/>
          <w:szCs w:val="21"/>
        </w:rPr>
        <w:t>（6）发现乙方或乙方工作人员出现全部或部分丧失履行委托服务能力的情况，甲方有权通知乙方限期整改或更换工作人员，期限届满乙方并未进行改善的；</w:t>
      </w:r>
    </w:p>
    <w:p>
      <w:pPr>
        <w:widowControl/>
        <w:spacing w:line="360" w:lineRule="auto"/>
        <w:ind w:firstLine="420" w:firstLineChars="200"/>
        <w:rPr>
          <w:rFonts w:ascii="宋体" w:hAnsi="宋体" w:cs="宋体"/>
          <w:szCs w:val="21"/>
        </w:rPr>
      </w:pPr>
      <w:r>
        <w:rPr>
          <w:rFonts w:hint="eastAsia" w:ascii="宋体" w:hAnsi="宋体" w:cs="宋体"/>
          <w:szCs w:val="21"/>
        </w:rPr>
        <w:t>（7）乙方明确表示或者以自己的行为表明不履行本合同的。</w:t>
      </w:r>
    </w:p>
    <w:p>
      <w:pPr>
        <w:widowControl/>
        <w:spacing w:line="360" w:lineRule="auto"/>
        <w:ind w:firstLine="420" w:firstLineChars="200"/>
        <w:rPr>
          <w:rFonts w:ascii="宋体" w:hAnsi="宋体" w:cs="宋体"/>
          <w:szCs w:val="21"/>
        </w:rPr>
      </w:pPr>
      <w:r>
        <w:rPr>
          <w:rFonts w:hint="eastAsia" w:ascii="宋体" w:hAnsi="宋体" w:cs="宋体"/>
          <w:szCs w:val="21"/>
        </w:rPr>
        <w:t>3.</w:t>
      </w:r>
      <w:bookmarkStart w:id="14" w:name="_Hlk32923857"/>
      <w:r>
        <w:rPr>
          <w:rFonts w:hint="eastAsia" w:ascii="宋体" w:hAnsi="宋体" w:cs="宋体"/>
          <w:szCs w:val="21"/>
        </w:rPr>
        <w:t>除因</w:t>
      </w:r>
      <w:r>
        <w:rPr>
          <w:rFonts w:hint="eastAsia" w:ascii="宋体" w:hAnsi="宋体" w:cs="宋体"/>
          <w:kern w:val="0"/>
          <w:szCs w:val="21"/>
        </w:rPr>
        <w:t>甲方付款审批影响支付进度的情况外，</w:t>
      </w:r>
      <w:bookmarkEnd w:id="14"/>
      <w:r>
        <w:rPr>
          <w:rFonts w:hint="eastAsia" w:ascii="宋体" w:hAnsi="宋体" w:cs="宋体"/>
          <w:szCs w:val="21"/>
        </w:rPr>
        <w:t>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w:t>
      </w:r>
      <w:r>
        <w:rPr>
          <w:rFonts w:ascii="宋体" w:hAnsi="宋体" w:cs="宋体"/>
          <w:szCs w:val="21"/>
        </w:rPr>
        <w:t>20</w:t>
      </w:r>
      <w:r>
        <w:rPr>
          <w:rFonts w:hint="eastAsia" w:ascii="宋体" w:hAnsi="宋体" w:cs="宋体"/>
          <w:szCs w:val="21"/>
        </w:rPr>
        <w:t>%的违约金。</w:t>
      </w:r>
    </w:p>
    <w:p>
      <w:pPr>
        <w:widowControl/>
        <w:spacing w:line="360" w:lineRule="auto"/>
        <w:ind w:firstLine="420" w:firstLineChars="200"/>
        <w:rPr>
          <w:rFonts w:ascii="宋体" w:hAnsi="宋体" w:cs="宋体"/>
          <w:szCs w:val="21"/>
        </w:rPr>
      </w:pPr>
      <w:r>
        <w:rPr>
          <w:rFonts w:hint="eastAsia" w:ascii="宋体" w:hAnsi="宋体" w:cs="宋体"/>
          <w:szCs w:val="21"/>
        </w:rPr>
        <w:t>4.上述违约责任各自独立且可累加。本合同所约定的违约金如低于因违约行为所造成的损失，违约方应补偿上述不足部分的损失。</w:t>
      </w:r>
    </w:p>
    <w:p>
      <w:pPr>
        <w:widowControl/>
        <w:spacing w:line="360" w:lineRule="auto"/>
        <w:ind w:firstLine="420" w:firstLineChars="200"/>
        <w:rPr>
          <w:rFonts w:ascii="宋体" w:hAnsi="宋体" w:cs="宋体"/>
          <w:szCs w:val="21"/>
        </w:rPr>
      </w:pPr>
      <w:r>
        <w:rPr>
          <w:rFonts w:hint="eastAsia" w:ascii="宋体" w:hAnsi="宋体" w:cs="宋体"/>
          <w:szCs w:val="21"/>
        </w:rPr>
        <w:t>十三、争议解决办法</w:t>
      </w:r>
    </w:p>
    <w:p>
      <w:pPr>
        <w:widowControl/>
        <w:spacing w:line="360" w:lineRule="auto"/>
        <w:ind w:firstLine="420" w:firstLineChars="200"/>
        <w:rPr>
          <w:rFonts w:ascii="宋体" w:hAnsi="宋体" w:cs="宋体"/>
          <w:szCs w:val="21"/>
        </w:rPr>
      </w:pPr>
      <w:r>
        <w:rPr>
          <w:rFonts w:hint="eastAsia" w:ascii="宋体" w:hAnsi="宋体" w:cs="宋体"/>
          <w:szCs w:val="21"/>
        </w:rPr>
        <w:t>因本合同的履行或合同本身发生的争议或纠纷，双方应协商解决。协商不成，双方可依法向深圳前海合作区人民法院起诉。</w:t>
      </w:r>
    </w:p>
    <w:p>
      <w:pPr>
        <w:widowControl/>
        <w:spacing w:line="360" w:lineRule="auto"/>
        <w:ind w:firstLine="420" w:firstLineChars="200"/>
        <w:rPr>
          <w:rFonts w:ascii="宋体" w:hAnsi="宋体" w:cs="宋体"/>
          <w:szCs w:val="21"/>
        </w:rPr>
      </w:pPr>
      <w:r>
        <w:rPr>
          <w:rFonts w:hint="eastAsia" w:ascii="宋体" w:hAnsi="宋体" w:cs="宋体"/>
          <w:szCs w:val="21"/>
        </w:rPr>
        <w:t>十四、其他</w:t>
      </w:r>
    </w:p>
    <w:p>
      <w:pPr>
        <w:widowControl/>
        <w:spacing w:line="360" w:lineRule="auto"/>
        <w:ind w:firstLine="420" w:firstLineChars="200"/>
        <w:rPr>
          <w:rFonts w:ascii="宋体" w:hAnsi="宋体" w:cs="宋体"/>
          <w:szCs w:val="21"/>
        </w:rPr>
      </w:pPr>
      <w:r>
        <w:rPr>
          <w:rFonts w:hint="eastAsia" w:ascii="宋体" w:hAnsi="宋体" w:cs="宋体"/>
          <w:szCs w:val="21"/>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widowControl/>
        <w:spacing w:line="360" w:lineRule="auto"/>
        <w:ind w:firstLine="420" w:firstLineChars="200"/>
        <w:rPr>
          <w:rFonts w:ascii="宋体" w:hAnsi="宋体" w:cs="宋体"/>
          <w:szCs w:val="21"/>
        </w:rPr>
      </w:pPr>
      <w:r>
        <w:rPr>
          <w:rFonts w:hint="eastAsia" w:ascii="宋体" w:hAnsi="宋体" w:cs="宋体"/>
          <w:szCs w:val="21"/>
        </w:rPr>
        <w:t>（1）合同书及补充协议；</w:t>
      </w:r>
    </w:p>
    <w:p>
      <w:pPr>
        <w:widowControl/>
        <w:spacing w:line="360" w:lineRule="auto"/>
        <w:ind w:firstLine="420" w:firstLineChars="200"/>
        <w:rPr>
          <w:rFonts w:ascii="宋体" w:hAnsi="宋体" w:cs="宋体"/>
          <w:szCs w:val="21"/>
        </w:rPr>
      </w:pPr>
      <w:r>
        <w:rPr>
          <w:rFonts w:hint="eastAsia" w:ascii="宋体" w:hAnsi="宋体" w:cs="宋体"/>
          <w:szCs w:val="21"/>
        </w:rPr>
        <w:t>（2）中标通知书；</w:t>
      </w:r>
    </w:p>
    <w:p>
      <w:pPr>
        <w:widowControl/>
        <w:spacing w:line="360" w:lineRule="auto"/>
        <w:ind w:firstLine="420" w:firstLineChars="200"/>
        <w:rPr>
          <w:rFonts w:ascii="宋体" w:hAnsi="宋体" w:cs="宋体"/>
          <w:szCs w:val="21"/>
        </w:rPr>
      </w:pPr>
      <w:r>
        <w:rPr>
          <w:rFonts w:hint="eastAsia" w:ascii="宋体" w:hAnsi="宋体" w:cs="宋体"/>
          <w:szCs w:val="21"/>
        </w:rPr>
        <w:t>（3）招标文件（编号：QH20210</w:t>
      </w:r>
      <w:r>
        <w:rPr>
          <w:rFonts w:hint="eastAsia" w:ascii="宋体" w:hAnsi="宋体" w:cs="宋体"/>
          <w:szCs w:val="21"/>
          <w:highlight w:val="yellow"/>
        </w:rPr>
        <w:t>58）</w:t>
      </w:r>
      <w:r>
        <w:rPr>
          <w:rFonts w:hint="eastAsia" w:ascii="宋体" w:hAnsi="宋体" w:cs="宋体"/>
          <w:szCs w:val="21"/>
        </w:rPr>
        <w:t>及其澄清、补正公告；</w:t>
      </w:r>
    </w:p>
    <w:p>
      <w:pPr>
        <w:widowControl/>
        <w:spacing w:line="360" w:lineRule="auto"/>
        <w:ind w:firstLine="420" w:firstLineChars="200"/>
        <w:rPr>
          <w:rFonts w:ascii="宋体" w:hAnsi="宋体" w:cs="宋体"/>
          <w:szCs w:val="21"/>
        </w:rPr>
      </w:pPr>
      <w:r>
        <w:rPr>
          <w:rFonts w:hint="eastAsia" w:ascii="宋体" w:hAnsi="宋体" w:cs="宋体"/>
          <w:szCs w:val="21"/>
        </w:rPr>
        <w:t>（4）投标书。</w:t>
      </w:r>
    </w:p>
    <w:p>
      <w:pPr>
        <w:widowControl/>
        <w:spacing w:line="360" w:lineRule="auto"/>
        <w:ind w:firstLine="420" w:firstLineChars="200"/>
        <w:rPr>
          <w:rFonts w:ascii="宋体" w:hAnsi="宋体" w:cs="宋体"/>
          <w:szCs w:val="21"/>
        </w:rPr>
      </w:pPr>
      <w:r>
        <w:rPr>
          <w:rFonts w:hint="eastAsia" w:ascii="宋体" w:hAnsi="宋体" w:cs="宋体"/>
          <w:szCs w:val="21"/>
        </w:rPr>
        <w:t>2.本合同的附件为合同不可分割的组成部分，与本合同具有同等法律效力。若附件与合同正文有任何冲突，以合同正文为准。</w:t>
      </w:r>
    </w:p>
    <w:p>
      <w:pPr>
        <w:widowControl/>
        <w:spacing w:line="360" w:lineRule="auto"/>
        <w:ind w:firstLine="420" w:firstLineChars="200"/>
        <w:rPr>
          <w:rFonts w:ascii="宋体" w:hAnsi="宋体" w:cs="宋体"/>
          <w:szCs w:val="21"/>
        </w:rPr>
      </w:pPr>
      <w:r>
        <w:rPr>
          <w:rFonts w:hint="eastAsia" w:ascii="宋体" w:hAnsi="宋体" w:cs="宋体"/>
          <w:szCs w:val="21"/>
        </w:rPr>
        <w:t>3.本合同未尽事宜，由双方协商签订补充协议进行约定。补充协议应以书面形式作成，经双方法定代表人或授权代表签字盖章后与本合同具有同等法律效力。</w:t>
      </w:r>
    </w:p>
    <w:p>
      <w:pPr>
        <w:widowControl/>
        <w:spacing w:line="360" w:lineRule="auto"/>
        <w:ind w:firstLine="420" w:firstLineChars="200"/>
        <w:rPr>
          <w:rFonts w:ascii="宋体" w:hAnsi="宋体" w:cs="宋体"/>
          <w:szCs w:val="21"/>
        </w:rPr>
      </w:pPr>
      <w:r>
        <w:rPr>
          <w:rFonts w:hint="eastAsia" w:ascii="宋体" w:hAnsi="宋体" w:cs="宋体"/>
          <w:szCs w:val="21"/>
        </w:rPr>
        <w:t>4.本合同约定的权利和义务不因合同双方发生收购、兼并、重组、分立而发生变化。如果发生上述情形，则本合同约定的权利和义务随之转移至收购、兼并、重组或分立后成立的单位。</w:t>
      </w:r>
    </w:p>
    <w:p>
      <w:pPr>
        <w:widowControl/>
        <w:spacing w:line="360" w:lineRule="auto"/>
        <w:ind w:firstLine="420" w:firstLineChars="200"/>
        <w:rPr>
          <w:rFonts w:ascii="宋体" w:hAnsi="宋体" w:cs="宋体"/>
          <w:szCs w:val="21"/>
        </w:rPr>
      </w:pPr>
      <w:r>
        <w:rPr>
          <w:rFonts w:hint="eastAsia" w:ascii="宋体" w:hAnsi="宋体" w:cs="宋体"/>
          <w:szCs w:val="21"/>
        </w:rPr>
        <w:t>5.本合同在国家法律、法规和规章规定的范围内执行。当国家法律、法规和规章发生变化导致本合同有关条款与之抵触时，双方协商变更或废止该条款，在此情况下，双方互不承担责任。</w:t>
      </w:r>
    </w:p>
    <w:p>
      <w:pPr>
        <w:widowControl/>
        <w:spacing w:line="360" w:lineRule="auto"/>
        <w:ind w:firstLine="420" w:firstLineChars="200"/>
        <w:rPr>
          <w:rFonts w:ascii="宋体" w:hAnsi="宋体" w:cs="宋体"/>
        </w:rPr>
      </w:pPr>
      <w:r>
        <w:rPr>
          <w:rFonts w:hint="eastAsia" w:ascii="宋体" w:hAnsi="宋体" w:cs="宋体"/>
        </w:rPr>
        <w:t>6. 如果本合同的任何条款在任何时候变成不合法、无效或不可强制执行而不从根本上影响本合同的效力时，本合同的其他条款不受影响。</w:t>
      </w:r>
    </w:p>
    <w:p>
      <w:pPr>
        <w:widowControl/>
        <w:spacing w:line="360" w:lineRule="auto"/>
        <w:ind w:firstLine="420" w:firstLineChars="200"/>
        <w:rPr>
          <w:rFonts w:ascii="宋体" w:hAnsi="宋体" w:cs="宋体"/>
        </w:rPr>
      </w:pPr>
      <w:r>
        <w:rPr>
          <w:rFonts w:hint="eastAsia" w:ascii="宋体" w:hAnsi="宋体" w:cs="宋体"/>
        </w:rPr>
        <w:t>7．本合同的任何内容不应被视为或解释为双方之间具有合资、合伙、代理关系。</w:t>
      </w:r>
    </w:p>
    <w:p>
      <w:pPr>
        <w:widowControl/>
        <w:spacing w:line="360" w:lineRule="auto"/>
        <w:ind w:firstLine="420" w:firstLineChars="200"/>
        <w:rPr>
          <w:rFonts w:ascii="宋体" w:hAnsi="宋体" w:cs="宋体"/>
        </w:rPr>
      </w:pPr>
      <w:r>
        <w:rPr>
          <w:rFonts w:hint="eastAsia" w:ascii="宋体" w:hAnsi="宋体" w:cs="宋体"/>
        </w:rPr>
        <w:t>8. 任何一方未经另一方同意不得向任何第三方透露本合同的签订及其内容。甲方向其关联单位透露前述内容的，不受此限。</w:t>
      </w:r>
    </w:p>
    <w:p>
      <w:pPr>
        <w:widowControl/>
        <w:spacing w:line="360" w:lineRule="auto"/>
        <w:ind w:firstLine="420" w:firstLineChars="200"/>
        <w:rPr>
          <w:rFonts w:ascii="宋体" w:hAnsi="宋体" w:cs="宋体"/>
          <w:szCs w:val="21"/>
        </w:rPr>
      </w:pPr>
      <w:r>
        <w:rPr>
          <w:rFonts w:hint="eastAsia" w:ascii="宋体" w:hAnsi="宋体" w:cs="宋体"/>
          <w:szCs w:val="21"/>
        </w:rPr>
        <w:t>9.</w:t>
      </w:r>
      <w:r>
        <w:rPr>
          <w:rFonts w:hint="eastAsia" w:ascii="宋体" w:hAnsi="宋体" w:cs="宋体"/>
        </w:rPr>
        <w:t xml:space="preserve"> </w:t>
      </w:r>
      <w:r>
        <w:rPr>
          <w:rFonts w:hint="eastAsia" w:ascii="宋体" w:hAnsi="宋体" w:cs="宋体"/>
          <w:szCs w:val="21"/>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widowControl/>
        <w:spacing w:line="360" w:lineRule="auto"/>
        <w:ind w:firstLine="420" w:firstLineChars="200"/>
        <w:rPr>
          <w:rFonts w:ascii="宋体" w:hAnsi="宋体" w:cs="宋体"/>
          <w:szCs w:val="21"/>
        </w:rPr>
      </w:pPr>
      <w:r>
        <w:rPr>
          <w:rFonts w:hint="eastAsia" w:ascii="宋体" w:hAnsi="宋体" w:cs="宋体"/>
          <w:szCs w:val="21"/>
        </w:rPr>
        <w:t>10.本合同自双方法定代表人或授权代表签字盖章之日起生效，有效期至后续服务期满之日止。</w:t>
      </w:r>
    </w:p>
    <w:p>
      <w:pPr>
        <w:widowControl/>
        <w:spacing w:line="360" w:lineRule="auto"/>
        <w:ind w:firstLine="420" w:firstLineChars="200"/>
        <w:rPr>
          <w:rFonts w:ascii="宋体" w:hAnsi="宋体"/>
          <w:szCs w:val="21"/>
        </w:rPr>
      </w:pPr>
      <w:r>
        <w:rPr>
          <w:rFonts w:hint="eastAsia" w:ascii="宋体" w:hAnsi="宋体" w:cs="宋体"/>
          <w:szCs w:val="21"/>
        </w:rPr>
        <w:t>11.本合同一式</w:t>
      </w:r>
      <w:r>
        <w:rPr>
          <w:rFonts w:hint="eastAsia" w:ascii="宋体" w:hAnsi="宋体" w:cs="宋体"/>
          <w:szCs w:val="21"/>
          <w:u w:val="single"/>
        </w:rPr>
        <w:t xml:space="preserve"> 六 </w:t>
      </w:r>
      <w:r>
        <w:rPr>
          <w:rFonts w:hint="eastAsia" w:ascii="宋体" w:hAnsi="宋体" w:cs="宋体"/>
          <w:szCs w:val="21"/>
        </w:rPr>
        <w:t>份，双方各执</w:t>
      </w:r>
      <w:r>
        <w:rPr>
          <w:rFonts w:hint="eastAsia" w:ascii="宋体" w:hAnsi="宋体" w:cs="宋体"/>
          <w:szCs w:val="21"/>
          <w:u w:val="single"/>
        </w:rPr>
        <w:t xml:space="preserve"> 三 </w:t>
      </w:r>
      <w:r>
        <w:rPr>
          <w:rFonts w:hint="eastAsia" w:ascii="宋体" w:hAnsi="宋体" w:cs="宋体"/>
          <w:szCs w:val="21"/>
        </w:rPr>
        <w:t>份，均具同等法律效力。</w:t>
      </w:r>
      <w:r>
        <w:rPr>
          <w:rFonts w:hint="eastAsia" w:ascii="宋体" w:hAnsi="宋体" w:cs="宋体"/>
          <w:szCs w:val="21"/>
        </w:rPr>
        <w:br w:type="page"/>
      </w:r>
      <w:r>
        <w:rPr>
          <w:rFonts w:hint="eastAsia" w:ascii="宋体" w:hAnsi="宋体"/>
          <w:szCs w:val="21"/>
        </w:rPr>
        <w:t>（以下无正文，下一页为签字盖章页）</w:t>
      </w:r>
    </w:p>
    <w:p>
      <w:pPr>
        <w:shd w:val="clear" w:color="auto" w:fill="FFFFFF"/>
        <w:adjustRightInd w:val="0"/>
        <w:snapToGrid w:val="0"/>
        <w:spacing w:line="360" w:lineRule="auto"/>
        <w:rPr>
          <w:rFonts w:ascii="宋体" w:hAnsi="宋体"/>
          <w:szCs w:val="21"/>
        </w:rPr>
      </w:pPr>
    </w:p>
    <w:p>
      <w:pPr>
        <w:shd w:val="clear" w:color="auto" w:fill="FFFFFF"/>
        <w:adjustRightInd w:val="0"/>
        <w:snapToGrid w:val="0"/>
        <w:spacing w:line="360" w:lineRule="auto"/>
        <w:rPr>
          <w:rFonts w:ascii="宋体" w:hAnsi="宋体"/>
          <w:szCs w:val="21"/>
        </w:rPr>
      </w:pPr>
    </w:p>
    <w:p>
      <w:pPr>
        <w:shd w:val="clear" w:color="auto" w:fill="FFFFFF"/>
        <w:adjustRightInd w:val="0"/>
        <w:snapToGrid w:val="0"/>
        <w:spacing w:line="360" w:lineRule="auto"/>
        <w:rPr>
          <w:rFonts w:ascii="宋体" w:hAnsi="宋体"/>
          <w:szCs w:val="21"/>
        </w:rPr>
      </w:pPr>
    </w:p>
    <w:p>
      <w:pPr>
        <w:shd w:val="clear" w:color="auto" w:fill="FFFFFF"/>
        <w:adjustRightInd w:val="0"/>
        <w:snapToGrid w:val="0"/>
        <w:spacing w:line="360" w:lineRule="auto"/>
        <w:rPr>
          <w:rFonts w:ascii="宋体" w:hAnsi="宋体"/>
          <w:szCs w:val="21"/>
        </w:rPr>
      </w:pPr>
      <w:r>
        <w:rPr>
          <w:rFonts w:hint="eastAsia" w:ascii="宋体" w:hAnsi="宋体"/>
          <w:szCs w:val="21"/>
        </w:rPr>
        <w:t>（本页为签章页）</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firstLine="200"/>
        <w:rPr>
          <w:rFonts w:ascii="宋体" w:hAnsi="宋体"/>
          <w:szCs w:val="21"/>
        </w:rPr>
      </w:pPr>
    </w:p>
    <w:p>
      <w:pPr>
        <w:spacing w:line="360" w:lineRule="auto"/>
        <w:ind w:left="7273" w:hanging="7273" w:hangingChars="3450"/>
        <w:rPr>
          <w:rFonts w:ascii="宋体" w:hAnsi="宋体"/>
          <w:b/>
          <w:szCs w:val="21"/>
        </w:rPr>
      </w:pPr>
      <w:r>
        <w:rPr>
          <w:rFonts w:hint="eastAsia" w:ascii="宋体" w:hAnsi="宋体"/>
          <w:b/>
          <w:szCs w:val="21"/>
        </w:rPr>
        <w:t>甲方名称：                             乙方名称：</w:t>
      </w:r>
    </w:p>
    <w:p>
      <w:pPr>
        <w:spacing w:line="360" w:lineRule="auto"/>
        <w:ind w:firstLine="200"/>
        <w:rPr>
          <w:rFonts w:ascii="宋体" w:hAnsi="宋体"/>
          <w:szCs w:val="21"/>
        </w:rPr>
      </w:pPr>
      <w:r>
        <w:rPr>
          <w:rFonts w:hint="eastAsia" w:ascii="宋体" w:hAnsi="宋体"/>
          <w:szCs w:val="21"/>
        </w:rPr>
        <w:t>深圳市前海深港现代服务业合作区管理局</w:t>
      </w:r>
      <w:r>
        <w:rPr>
          <w:rFonts w:hint="eastAsia" w:ascii="宋体" w:hAnsi="宋体"/>
          <w:szCs w:val="21"/>
        </w:rPr>
        <w:tab/>
      </w:r>
    </w:p>
    <w:p>
      <w:pPr>
        <w:spacing w:line="360" w:lineRule="auto"/>
        <w:ind w:firstLine="200"/>
        <w:rPr>
          <w:rFonts w:ascii="宋体" w:hAnsi="宋体"/>
          <w:szCs w:val="21"/>
        </w:rPr>
      </w:pPr>
      <w:r>
        <w:rPr>
          <w:rFonts w:hint="eastAsia" w:ascii="宋体" w:hAnsi="宋体"/>
          <w:szCs w:val="21"/>
        </w:rPr>
        <w:t>（盖章）</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（盖章）</w:t>
      </w:r>
    </w:p>
    <w:p>
      <w:pPr>
        <w:spacing w:line="360" w:lineRule="auto"/>
        <w:ind w:firstLine="200"/>
        <w:rPr>
          <w:rFonts w:ascii="宋体" w:hAnsi="宋体"/>
          <w:szCs w:val="21"/>
        </w:rPr>
      </w:pPr>
    </w:p>
    <w:p>
      <w:pPr>
        <w:spacing w:line="360" w:lineRule="auto"/>
        <w:ind w:firstLine="200"/>
        <w:rPr>
          <w:rFonts w:ascii="宋体" w:hAnsi="宋体"/>
          <w:szCs w:val="21"/>
        </w:rPr>
      </w:pPr>
      <w:r>
        <w:rPr>
          <w:rFonts w:hint="eastAsia" w:ascii="宋体" w:hAnsi="宋体"/>
          <w:szCs w:val="21"/>
        </w:rPr>
        <w:t xml:space="preserve">法定代表人或授权代表：（签字） </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法定代表人或授权代表：（签字）</w:t>
      </w:r>
    </w:p>
    <w:p>
      <w:pPr>
        <w:widowControl/>
        <w:spacing w:line="360" w:lineRule="auto"/>
        <w:ind w:firstLine="200"/>
        <w:jc w:val="left"/>
        <w:rPr>
          <w:rFonts w:ascii="宋体" w:hAnsi="宋体"/>
          <w:szCs w:val="21"/>
        </w:rPr>
      </w:pPr>
    </w:p>
    <w:p>
      <w:pPr>
        <w:spacing w:line="360" w:lineRule="auto"/>
        <w:ind w:firstLine="200"/>
        <w:rPr>
          <w:rFonts w:ascii="宋体" w:hAnsi="宋体"/>
          <w:szCs w:val="21"/>
        </w:rPr>
      </w:pPr>
      <w:r>
        <w:rPr>
          <w:rFonts w:hint="eastAsia" w:ascii="宋体" w:hAnsi="宋体"/>
          <w:szCs w:val="21"/>
        </w:rPr>
        <w:t>日期：                                       日期：</w:t>
      </w:r>
    </w:p>
    <w:p>
      <w:pPr>
        <w:spacing w:line="360" w:lineRule="auto"/>
        <w:ind w:firstLine="630" w:firstLineChars="300"/>
        <w:rPr>
          <w:rFonts w:ascii="宋体" w:hAnsi="宋体"/>
          <w:szCs w:val="21"/>
        </w:rPr>
      </w:pPr>
    </w:p>
    <w:p>
      <w:pPr>
        <w:spacing w:line="360" w:lineRule="auto"/>
        <w:ind w:firstLine="630" w:firstLineChars="300"/>
        <w:rPr>
          <w:rFonts w:ascii="宋体" w:hAnsi="宋体"/>
          <w:szCs w:val="21"/>
        </w:rPr>
      </w:pPr>
    </w:p>
    <w:p>
      <w:pPr>
        <w:spacing w:line="360" w:lineRule="auto"/>
        <w:ind w:firstLine="630" w:firstLineChars="300"/>
        <w:rPr>
          <w:rFonts w:ascii="宋体" w:hAnsi="宋体"/>
          <w:szCs w:val="21"/>
        </w:rPr>
      </w:pPr>
    </w:p>
    <w:p>
      <w:pPr>
        <w:spacing w:line="360" w:lineRule="auto"/>
        <w:ind w:firstLine="420" w:firstLineChars="200"/>
        <w:rPr>
          <w:rFonts w:ascii="宋体" w:hAnsi="宋体"/>
          <w:szCs w:val="21"/>
        </w:rPr>
        <w:sectPr>
          <w:headerReference r:id="rId3" w:type="default"/>
          <w:footerReference r:id="rId4" w:type="default"/>
          <w:pgSz w:w="11906" w:h="16838"/>
          <w:pgMar w:top="1440" w:right="1800" w:bottom="1440" w:left="1800" w:header="851" w:footer="992" w:gutter="0"/>
          <w:cols w:space="720" w:num="1"/>
          <w:titlePg/>
          <w:docGrid w:type="lines" w:linePitch="312" w:charSpace="0"/>
        </w:sectPr>
      </w:pPr>
      <w:r>
        <w:rPr>
          <w:rFonts w:hint="eastAsia" w:ascii="宋体" w:hAnsi="宋体"/>
          <w:szCs w:val="21"/>
        </w:rPr>
        <w:t>注：本合同样本仅供参考，非实质性条款内容可由采购单位和中标单位协商确定。</w:t>
      </w:r>
    </w:p>
    <w:p>
      <w:pPr>
        <w:jc w:val="center"/>
        <w:outlineLvl w:val="0"/>
        <w:rPr>
          <w:b/>
          <w:sz w:val="30"/>
          <w:szCs w:val="30"/>
        </w:rPr>
      </w:pPr>
      <w:bookmarkStart w:id="15" w:name="_Toc76054645"/>
      <w:r>
        <w:rPr>
          <w:rFonts w:hint="eastAsia"/>
          <w:b/>
          <w:sz w:val="30"/>
          <w:szCs w:val="30"/>
        </w:rPr>
        <w:t>第六章 服务技术要求和商务要求</w:t>
      </w:r>
      <w:bookmarkEnd w:id="15"/>
    </w:p>
    <w:p>
      <w:pPr>
        <w:snapToGrid w:val="0"/>
        <w:spacing w:line="360" w:lineRule="auto"/>
        <w:rPr>
          <w:rFonts w:ascii="黑体" w:hAnsi="宋体" w:eastAsia="黑体" w:cs="宋体"/>
          <w:b/>
          <w:sz w:val="28"/>
          <w:szCs w:val="28"/>
        </w:rPr>
      </w:pPr>
    </w:p>
    <w:p>
      <w:pPr>
        <w:snapToGrid w:val="0"/>
        <w:spacing w:line="360" w:lineRule="auto"/>
        <w:rPr>
          <w:rFonts w:ascii="黑体" w:hAnsi="宋体" w:eastAsia="黑体" w:cs="宋体"/>
          <w:b/>
          <w:sz w:val="28"/>
          <w:szCs w:val="28"/>
        </w:rPr>
      </w:pPr>
      <w:r>
        <w:rPr>
          <w:rFonts w:hint="eastAsia" w:ascii="黑体" w:hAnsi="宋体" w:eastAsia="黑体" w:cs="宋体"/>
          <w:b/>
          <w:sz w:val="28"/>
          <w:szCs w:val="28"/>
        </w:rPr>
        <w:t>重点提示：</w:t>
      </w:r>
    </w:p>
    <w:p>
      <w:pPr>
        <w:spacing w:line="360" w:lineRule="auto"/>
        <w:ind w:firstLine="420" w:firstLineChars="200"/>
        <w:rPr>
          <w:rFonts w:ascii="宋体" w:hAnsi="宋体"/>
          <w:szCs w:val="21"/>
        </w:rPr>
      </w:pPr>
      <w:r>
        <w:rPr>
          <w:rFonts w:hint="eastAsia" w:ascii="宋体" w:hAnsi="宋体"/>
          <w:szCs w:val="21"/>
        </w:rPr>
        <w:t>1.关于特殊符号的说明</w:t>
      </w:r>
    </w:p>
    <w:p>
      <w:pPr>
        <w:spacing w:line="360" w:lineRule="auto"/>
        <w:ind w:firstLine="420" w:firstLineChars="200"/>
        <w:rPr>
          <w:rFonts w:ascii="宋体" w:hAnsi="宋体"/>
          <w:szCs w:val="21"/>
        </w:rPr>
      </w:pPr>
      <w:r>
        <w:rPr>
          <w:rFonts w:hint="eastAsia" w:ascii="宋体" w:hAnsi="宋体"/>
          <w:szCs w:val="21"/>
        </w:rPr>
        <w:t>招标文件中标注“★”的条款均为不可偏离的实质性条款，投标文件对其中任意一条不满足的将作投标无效处理。</w:t>
      </w:r>
    </w:p>
    <w:p>
      <w:pPr>
        <w:pStyle w:val="17"/>
        <w:spacing w:before="0" w:beforeAutospacing="0" w:after="0" w:afterAutospacing="0" w:line="360" w:lineRule="auto"/>
        <w:ind w:firstLine="422" w:firstLineChars="200"/>
        <w:outlineLvl w:val="1"/>
        <w:rPr>
          <w:b/>
          <w:sz w:val="21"/>
          <w:szCs w:val="21"/>
        </w:rPr>
      </w:pPr>
      <w:r>
        <w:rPr>
          <w:rFonts w:hint="eastAsia"/>
          <w:b/>
          <w:sz w:val="21"/>
          <w:szCs w:val="21"/>
        </w:rPr>
        <w:br w:type="page"/>
      </w:r>
      <w:bookmarkStart w:id="16" w:name="_Toc76054646"/>
      <w:bookmarkStart w:id="17" w:name="_Toc26567"/>
      <w:bookmarkStart w:id="18" w:name="_Toc16949"/>
      <w:bookmarkStart w:id="19" w:name="_Toc12267"/>
      <w:r>
        <w:rPr>
          <w:rFonts w:hint="eastAsia"/>
          <w:b/>
          <w:sz w:val="21"/>
          <w:szCs w:val="21"/>
        </w:rPr>
        <w:t>一、项目背景</w:t>
      </w:r>
      <w:bookmarkEnd w:id="16"/>
      <w:bookmarkEnd w:id="17"/>
      <w:bookmarkEnd w:id="18"/>
      <w:bookmarkEnd w:id="19"/>
    </w:p>
    <w:p>
      <w:pPr>
        <w:pStyle w:val="17"/>
        <w:spacing w:before="0" w:beforeAutospacing="0" w:after="0" w:afterAutospacing="0" w:line="360" w:lineRule="auto"/>
        <w:ind w:firstLine="422" w:firstLineChars="200"/>
        <w:rPr>
          <w:b/>
          <w:sz w:val="21"/>
          <w:szCs w:val="21"/>
        </w:rPr>
      </w:pPr>
      <w:bookmarkStart w:id="20" w:name="_Toc1974"/>
      <w:bookmarkStart w:id="21" w:name="_Toc19086"/>
      <w:bookmarkStart w:id="22" w:name="_Toc18644"/>
      <w:bookmarkStart w:id="23" w:name="_Toc76054647"/>
      <w:bookmarkStart w:id="24" w:name="_Toc18499"/>
      <w:r>
        <w:rPr>
          <w:rFonts w:hint="eastAsia"/>
          <w:b/>
          <w:sz w:val="21"/>
          <w:szCs w:val="21"/>
        </w:rPr>
        <w:t>（一）项目概况</w:t>
      </w:r>
      <w:bookmarkEnd w:id="20"/>
      <w:bookmarkEnd w:id="21"/>
      <w:bookmarkEnd w:id="22"/>
      <w:bookmarkEnd w:id="23"/>
      <w:bookmarkEnd w:id="24"/>
    </w:p>
    <w:p>
      <w:pPr>
        <w:widowControl/>
        <w:spacing w:before="156" w:beforeLines="50" w:after="156" w:afterLines="50" w:line="360" w:lineRule="auto"/>
        <w:ind w:firstLine="420" w:firstLineChars="200"/>
        <w:rPr>
          <w:rFonts w:ascii="宋体" w:hAnsi="宋体" w:cs="宋体"/>
          <w:bCs/>
          <w:szCs w:val="21"/>
        </w:rPr>
      </w:pPr>
      <w:r>
        <w:rPr>
          <w:rFonts w:ascii="宋体" w:hAnsi="宋体" w:cs="宋体"/>
          <w:bCs/>
          <w:szCs w:val="21"/>
        </w:rPr>
        <w:t xml:space="preserve">2020年10月11日，在深圳特区四十周年之际，中共中央办公厅、国务院办公厅印发了《深圳建设中国特色社会主义先行示范区综合改革试点实施方案（2020－2025年）》，此次文件在2019年8月中央发布的《中共中央国务院关于支持深圳建设中国特色社会主义先行示范区的意见》提出的高质量发展高地、法治城市示范、城市文明典范、民生幸福标杆、可持续发展先锋的目标基础上，用到更高、全面、增强等词汇承载更多希望，重点在要素市场化配置、营商环境优化、城市空间统筹利用等领域明确授权改革思路。因此，深圳未来城市的发展不仅是指城市物质形态的不断增加、向更高密度、更高容量发展；更为突出的是城市面临系统升级的问题，尤其是基于要素市场化配置下的整体统筹的开发运营模式变化。 </w:t>
      </w:r>
    </w:p>
    <w:p>
      <w:pPr>
        <w:widowControl/>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前海作为深港合作和深圳“双区”战略发展的重要改革示范平台，除了在与香港各产业开展广泛合作外，应进一步促进城市开发建设管理理念和模式的深度融合。前海目前仍存在商办等产业用房空置率高、建筑品质良莠不齐、公共服务设施不足、城市形象与高端定位不匹配等现象。其中重要原因在于以下几点：一是引入的产业主体没有开发建设经验，建设品质差、建设进度缓慢；二是分散的土地供应与开发建设模式导致多主体自行开发，影响片区整体风貌；三是引入的开发商没有产业导入能力，产业运营能力不足，且未能与城市其他子系统高效衔接，导致去化率低，无法形成产业集聚。反观香港，在特别行政区成立后，主要房地产开发企业以</w:t>
      </w:r>
      <w:r>
        <w:rPr>
          <w:rFonts w:ascii="宋体" w:hAnsi="宋体" w:cs="宋体"/>
          <w:bCs/>
          <w:szCs w:val="21"/>
        </w:rPr>
        <w:t>TOD模式为依托，逐渐承担了土地整理、一级开发、规划、建设、产品设计、招商运营等多环节的城市开发职责，实现了由“房地产开发商”向“城市运营商”的顺利转变。运营项目运作流程因跨越“土地一级开发”、“二级房地产开发”和“三级产业联动”的项目整个生命周期,在各环节上均能给予政府部门较大支持，具有众多的城市开发营造的先进经验。</w:t>
      </w:r>
    </w:p>
    <w:p>
      <w:pPr>
        <w:adjustRightInd w:val="0"/>
        <w:snapToGrid w:val="0"/>
        <w:spacing w:line="360" w:lineRule="auto"/>
        <w:ind w:firstLine="420" w:firstLineChars="200"/>
        <w:jc w:val="left"/>
        <w:rPr>
          <w:rFonts w:ascii="宋体" w:hAnsi="宋体" w:cs="宋体"/>
          <w:szCs w:val="21"/>
        </w:rPr>
      </w:pPr>
      <w:r>
        <w:rPr>
          <w:rFonts w:hint="eastAsia" w:ascii="宋体" w:hAnsi="宋体" w:cs="宋体"/>
          <w:bCs/>
          <w:szCs w:val="21"/>
        </w:rPr>
        <w:t>因此，在面对从建设的“创业十年”到运营的“黄金十年”的重要过渡时期，前海迫切需要改变原有城市原有的各个开发商独立运营，城市以“块块”划分管理的现状运营模式，借鉴香港城市运营的开发建设理念，探索构建新型的“城市运营商”模式，进一步加强深港合作，紧密连接政府</w:t>
      </w:r>
      <w:r>
        <w:rPr>
          <w:rFonts w:ascii="宋体" w:hAnsi="宋体" w:cs="宋体"/>
          <w:bCs/>
          <w:szCs w:val="21"/>
        </w:rPr>
        <w:t>-开发商-产业三个重点城市开发运营主体，并与城市内部的公共基础设施建设、配套服务完善、城市活动举办及相关居民反馈联动，形成系统、完整的城市开发建设运营方案。为深圳以及国内高密度特大城市未来的开发建设运营提供新的改革思路。</w:t>
      </w:r>
    </w:p>
    <w:p>
      <w:pPr>
        <w:pStyle w:val="17"/>
        <w:spacing w:before="0" w:beforeAutospacing="0" w:after="0" w:afterAutospacing="0" w:line="360" w:lineRule="auto"/>
        <w:ind w:firstLine="420" w:firstLineChars="200"/>
        <w:outlineLvl w:val="1"/>
        <w:rPr>
          <w:sz w:val="21"/>
          <w:szCs w:val="21"/>
        </w:rPr>
      </w:pPr>
      <w:bookmarkStart w:id="25" w:name="_Toc548"/>
      <w:bookmarkStart w:id="26" w:name="_Toc31897"/>
      <w:bookmarkStart w:id="27" w:name="_Toc76054648"/>
      <w:bookmarkStart w:id="28" w:name="_Toc10679"/>
      <w:bookmarkStart w:id="29" w:name="_Toc51746099"/>
      <w:r>
        <w:rPr>
          <w:rFonts w:hint="eastAsia"/>
          <w:sz w:val="21"/>
          <w:szCs w:val="21"/>
        </w:rPr>
        <w:t>二、技术要求</w:t>
      </w:r>
      <w:bookmarkEnd w:id="25"/>
      <w:bookmarkEnd w:id="26"/>
      <w:bookmarkEnd w:id="27"/>
      <w:bookmarkEnd w:id="28"/>
      <w:bookmarkEnd w:id="29"/>
    </w:p>
    <w:p>
      <w:pPr>
        <w:pStyle w:val="17"/>
        <w:spacing w:before="0" w:beforeAutospacing="0" w:after="0" w:afterAutospacing="0" w:line="360" w:lineRule="auto"/>
        <w:ind w:firstLine="420" w:firstLineChars="200"/>
        <w:outlineLvl w:val="1"/>
        <w:rPr>
          <w:sz w:val="21"/>
          <w:szCs w:val="21"/>
        </w:rPr>
      </w:pPr>
      <w:bookmarkStart w:id="30" w:name="_Toc21616"/>
      <w:bookmarkStart w:id="31" w:name="_Toc9942"/>
      <w:bookmarkStart w:id="32" w:name="_Toc51746100"/>
      <w:bookmarkStart w:id="33" w:name="_Toc76054649"/>
      <w:bookmarkStart w:id="34" w:name="_Toc16772"/>
      <w:bookmarkStart w:id="35" w:name="_Toc51746101"/>
      <w:r>
        <w:rPr>
          <w:rFonts w:hint="eastAsia"/>
          <w:sz w:val="21"/>
          <w:szCs w:val="21"/>
        </w:rPr>
        <w:t>（一）前海及国内外重点城市调查、城市运营的政策梳理和分析</w:t>
      </w:r>
    </w:p>
    <w:p>
      <w:pPr>
        <w:pStyle w:val="17"/>
        <w:spacing w:before="0" w:beforeAutospacing="0" w:after="0" w:afterAutospacing="0" w:line="360" w:lineRule="auto"/>
        <w:ind w:firstLine="420" w:firstLineChars="200"/>
        <w:rPr>
          <w:sz w:val="21"/>
          <w:szCs w:val="21"/>
        </w:rPr>
      </w:pPr>
      <w:r>
        <w:rPr>
          <w:rFonts w:hint="eastAsia"/>
          <w:sz w:val="21"/>
          <w:szCs w:val="21"/>
        </w:rPr>
        <w:t>针对香港、北京、上海、新加坡、美国拉斯维加斯等国内外先进地区的城市运营经验进行详细梳理，结合各地城市运营经验，总结分析前海在城市发展新阶段将会呈现城市运营系统化特征，以及国内外成功经验带来的启示借鉴。</w:t>
      </w:r>
    </w:p>
    <w:p>
      <w:pPr>
        <w:pStyle w:val="17"/>
        <w:spacing w:before="0" w:beforeAutospacing="0" w:after="0" w:afterAutospacing="0" w:line="360" w:lineRule="auto"/>
        <w:ind w:firstLine="420" w:firstLineChars="200"/>
        <w:outlineLvl w:val="1"/>
        <w:rPr>
          <w:sz w:val="21"/>
          <w:szCs w:val="21"/>
        </w:rPr>
      </w:pPr>
      <w:r>
        <w:rPr>
          <w:rFonts w:hint="eastAsia"/>
          <w:sz w:val="21"/>
          <w:szCs w:val="21"/>
        </w:rPr>
        <w:t>（二）前海开发建设运营核心症结及影响要素研判</w:t>
      </w:r>
    </w:p>
    <w:p>
      <w:pPr>
        <w:pStyle w:val="17"/>
        <w:spacing w:before="0" w:beforeAutospacing="0" w:after="0" w:afterAutospacing="0" w:line="360" w:lineRule="auto"/>
        <w:ind w:firstLine="420" w:firstLineChars="200"/>
        <w:rPr>
          <w:sz w:val="21"/>
          <w:szCs w:val="21"/>
        </w:rPr>
      </w:pPr>
      <w:r>
        <w:rPr>
          <w:rFonts w:hint="eastAsia"/>
          <w:sz w:val="21"/>
          <w:szCs w:val="21"/>
        </w:rPr>
        <w:t>前海现状症结研判：通过实地调研访谈和资料收集，总结分析前海合作区的土地供应方式，单元开发模式，城市地下空间开发模式、城市慢行系统、生态系统建设，以及停车场等公共服务设施配套建设的现状城市开发建设思路、存在问题与未来城市运营核心诉求。</w:t>
      </w:r>
    </w:p>
    <w:p>
      <w:pPr>
        <w:pStyle w:val="17"/>
        <w:spacing w:before="0" w:beforeAutospacing="0" w:after="0" w:afterAutospacing="0" w:line="360" w:lineRule="auto"/>
        <w:ind w:firstLine="420" w:firstLineChars="200"/>
        <w:rPr>
          <w:sz w:val="21"/>
          <w:szCs w:val="21"/>
        </w:rPr>
      </w:pPr>
      <w:r>
        <w:rPr>
          <w:rFonts w:hint="eastAsia"/>
          <w:sz w:val="21"/>
          <w:szCs w:val="21"/>
        </w:rPr>
        <w:t>关键影响要素分析：结合先进地区的城市运营经验，以及前海合作区自身城市开发建设运营需求，围绕运营主体、运营内容、运营模式等方面，结合TOD开发、BOT开发等城市开发运营理论，提出针对前海合作区城市开发建设运营的关键影响要素及优化思路。</w:t>
      </w:r>
    </w:p>
    <w:p>
      <w:pPr>
        <w:pStyle w:val="17"/>
        <w:spacing w:before="0" w:beforeAutospacing="0" w:after="0" w:afterAutospacing="0" w:line="360" w:lineRule="auto"/>
        <w:ind w:firstLine="420" w:firstLineChars="200"/>
        <w:outlineLvl w:val="1"/>
        <w:rPr>
          <w:sz w:val="21"/>
          <w:szCs w:val="21"/>
        </w:rPr>
      </w:pPr>
      <w:r>
        <w:rPr>
          <w:rFonts w:hint="eastAsia"/>
          <w:sz w:val="21"/>
          <w:szCs w:val="21"/>
        </w:rPr>
        <w:t>（三）前海复合型“城市运营商”核心理念研究</w:t>
      </w:r>
    </w:p>
    <w:p>
      <w:pPr>
        <w:pStyle w:val="17"/>
        <w:spacing w:before="0" w:beforeAutospacing="0" w:after="0" w:afterAutospacing="0" w:line="360" w:lineRule="auto"/>
        <w:ind w:firstLine="420" w:firstLineChars="200"/>
        <w:rPr>
          <w:sz w:val="21"/>
          <w:szCs w:val="21"/>
        </w:rPr>
      </w:pPr>
      <w:r>
        <w:rPr>
          <w:rFonts w:hint="eastAsia"/>
          <w:sz w:val="21"/>
          <w:szCs w:val="21"/>
        </w:rPr>
        <w:t>借鉴香港及国内外其他地区先进经验、以及前海城市运营自身发展诉求和影响要素，提出针对高密度特大城市核心区的复合型”城市运营商”模式，创新构建前海合作区在新阶段城市系统化网络化运营理念。</w:t>
      </w:r>
    </w:p>
    <w:p>
      <w:pPr>
        <w:pStyle w:val="17"/>
        <w:spacing w:before="0" w:beforeAutospacing="0" w:after="0" w:afterAutospacing="0" w:line="360" w:lineRule="auto"/>
        <w:ind w:firstLine="420" w:firstLineChars="200"/>
        <w:outlineLvl w:val="1"/>
        <w:rPr>
          <w:sz w:val="21"/>
          <w:szCs w:val="21"/>
        </w:rPr>
      </w:pPr>
      <w:r>
        <w:rPr>
          <w:rFonts w:hint="eastAsia"/>
          <w:sz w:val="21"/>
          <w:szCs w:val="21"/>
        </w:rPr>
        <w:t>（四）前海复合型“城市运营商”模式研究</w:t>
      </w:r>
    </w:p>
    <w:p>
      <w:pPr>
        <w:pStyle w:val="17"/>
        <w:spacing w:before="0" w:beforeAutospacing="0" w:after="0" w:afterAutospacing="0" w:line="360" w:lineRule="auto"/>
        <w:ind w:firstLine="420" w:firstLineChars="200"/>
        <w:rPr>
          <w:sz w:val="21"/>
          <w:szCs w:val="21"/>
        </w:rPr>
      </w:pPr>
      <w:r>
        <w:rPr>
          <w:rFonts w:hint="eastAsia"/>
          <w:sz w:val="21"/>
          <w:szCs w:val="21"/>
        </w:rPr>
        <w:t>运营主体协调方式研究：结合前海合作区现有的政府各相关部门工作职能，理顺新型”城市运营商”模式中各部门工作要点及衔接机制。同时结合深圳现有的市场主体参与成片开发建设运营的实施路径，提出该模式下开发商与产业主体等市场主体的职能转换与调控思路。</w:t>
      </w:r>
    </w:p>
    <w:p>
      <w:pPr>
        <w:pStyle w:val="17"/>
        <w:spacing w:before="0" w:beforeAutospacing="0" w:after="0" w:afterAutospacing="0" w:line="360" w:lineRule="auto"/>
        <w:ind w:firstLine="420" w:firstLineChars="200"/>
        <w:rPr>
          <w:sz w:val="21"/>
          <w:szCs w:val="21"/>
        </w:rPr>
      </w:pPr>
      <w:r>
        <w:rPr>
          <w:rFonts w:hint="eastAsia"/>
          <w:sz w:val="21"/>
          <w:szCs w:val="21"/>
        </w:rPr>
        <w:t>运营核心内容及衔接关系研究：结合前海单元开发、立体化开发、带方案出让等已有的创新特点，构建基于前海未来发展的城市运营网络，研判该网络中的核心内容和影响要素，以及各要素之间的相互作用，提出前海“城市运营商”模式研究的重点。</w:t>
      </w:r>
    </w:p>
    <w:p>
      <w:pPr>
        <w:pStyle w:val="17"/>
        <w:spacing w:before="0" w:beforeAutospacing="0" w:after="0" w:afterAutospacing="0" w:line="360" w:lineRule="auto"/>
        <w:ind w:firstLine="420" w:firstLineChars="200"/>
        <w:rPr>
          <w:sz w:val="21"/>
          <w:szCs w:val="21"/>
        </w:rPr>
      </w:pPr>
      <w:r>
        <w:rPr>
          <w:rFonts w:hint="eastAsia"/>
          <w:sz w:val="21"/>
          <w:szCs w:val="21"/>
        </w:rPr>
        <w:t>基于不同情形的运营模式选择与优化研判：根据前海不同阶段发展诉求和特征，提出逐渐从“政府+全资国企”模式，再发展到由国企主导模式，再到“政府+社会企业”合作模式探讨，最后构建系统化复合型的城市片区开发运营模式。</w:t>
      </w:r>
    </w:p>
    <w:p>
      <w:pPr>
        <w:pStyle w:val="17"/>
        <w:spacing w:before="0" w:beforeAutospacing="0" w:after="0" w:afterAutospacing="0" w:line="360" w:lineRule="auto"/>
        <w:ind w:firstLine="420" w:firstLineChars="200"/>
        <w:outlineLvl w:val="1"/>
        <w:rPr>
          <w:sz w:val="21"/>
          <w:szCs w:val="21"/>
        </w:rPr>
      </w:pPr>
      <w:r>
        <w:rPr>
          <w:rFonts w:hint="eastAsia"/>
          <w:sz w:val="21"/>
          <w:szCs w:val="21"/>
        </w:rPr>
        <w:t>（五）前海“城市运营商”开发建设运营政策建议</w:t>
      </w:r>
    </w:p>
    <w:p>
      <w:pPr>
        <w:pStyle w:val="17"/>
        <w:spacing w:before="0" w:beforeAutospacing="0" w:after="0" w:afterAutospacing="0" w:line="360" w:lineRule="auto"/>
        <w:ind w:firstLine="420" w:firstLineChars="200"/>
        <w:rPr>
          <w:sz w:val="21"/>
          <w:szCs w:val="21"/>
        </w:rPr>
      </w:pPr>
      <w:r>
        <w:rPr>
          <w:rFonts w:hint="eastAsia"/>
          <w:sz w:val="21"/>
          <w:szCs w:val="21"/>
        </w:rPr>
        <w:t>前海政策基础研究：结合前海现有的政策环境与政策基础，研判前海“城市运营商”可衔接的政策要点。</w:t>
      </w:r>
    </w:p>
    <w:p>
      <w:pPr>
        <w:pStyle w:val="17"/>
        <w:spacing w:before="0" w:beforeAutospacing="0" w:after="0" w:afterAutospacing="0" w:line="360" w:lineRule="auto"/>
        <w:ind w:firstLine="420" w:firstLineChars="200"/>
        <w:rPr>
          <w:sz w:val="21"/>
          <w:szCs w:val="21"/>
        </w:rPr>
      </w:pPr>
      <w:r>
        <w:rPr>
          <w:rFonts w:hint="eastAsia"/>
          <w:sz w:val="21"/>
          <w:szCs w:val="21"/>
        </w:rPr>
        <w:t>开发建设运营政策建议：基于上述研究成果，结合可衔接的政策要点，从运营主体、运营内容、运营模式等方面，提出兼具理论高度和实操可行性的实施建议，并总结形成前海新型“城市运营商”模式改革创新要点。</w:t>
      </w:r>
    </w:p>
    <w:p>
      <w:pPr>
        <w:pStyle w:val="17"/>
        <w:spacing w:before="0" w:beforeAutospacing="0" w:after="0" w:afterAutospacing="0" w:line="360" w:lineRule="auto"/>
        <w:ind w:firstLine="422" w:firstLineChars="200"/>
        <w:outlineLvl w:val="1"/>
        <w:rPr>
          <w:b/>
          <w:sz w:val="21"/>
          <w:szCs w:val="21"/>
        </w:rPr>
      </w:pPr>
      <w:r>
        <w:rPr>
          <w:rFonts w:hint="eastAsia"/>
          <w:b/>
          <w:sz w:val="21"/>
          <w:szCs w:val="21"/>
        </w:rPr>
        <w:t>三、商务要求</w:t>
      </w:r>
      <w:bookmarkEnd w:id="30"/>
      <w:bookmarkEnd w:id="31"/>
      <w:bookmarkEnd w:id="32"/>
      <w:bookmarkEnd w:id="33"/>
      <w:bookmarkEnd w:id="34"/>
    </w:p>
    <w:p>
      <w:pPr>
        <w:spacing w:before="156" w:beforeLines="50" w:after="156" w:afterLines="50"/>
        <w:ind w:firstLine="422" w:firstLineChars="200"/>
        <w:rPr>
          <w:rFonts w:ascii="宋体" w:hAnsi="宋体" w:cs="宋体"/>
          <w:b/>
          <w:bCs/>
          <w:szCs w:val="21"/>
        </w:rPr>
      </w:pPr>
      <w:r>
        <w:rPr>
          <w:rFonts w:hint="eastAsia" w:ascii="宋体" w:hAnsi="宋体" w:cs="宋体"/>
          <w:b/>
          <w:bCs/>
          <w:szCs w:val="21"/>
        </w:rPr>
        <w:t>（一）服务期限</w:t>
      </w:r>
    </w:p>
    <w:p>
      <w:pPr>
        <w:spacing w:before="156" w:beforeLines="50" w:after="156" w:afterLines="50" w:line="360" w:lineRule="auto"/>
        <w:ind w:firstLine="420" w:firstLineChars="200"/>
      </w:pPr>
      <w:r>
        <w:t>本项目服务期为自合同签订日起一年。</w:t>
      </w:r>
    </w:p>
    <w:p>
      <w:pPr>
        <w:spacing w:before="156" w:beforeLines="50" w:after="156" w:afterLines="50" w:line="360" w:lineRule="auto"/>
        <w:ind w:firstLine="420" w:firstLineChars="200"/>
      </w:pPr>
      <w:r>
        <w:rPr>
          <w:rFonts w:hint="eastAsia"/>
        </w:rPr>
        <w:t>1.自合同签订之日起8个月内，</w:t>
      </w:r>
      <w:r>
        <w:rPr>
          <w:rFonts w:hint="eastAsia" w:ascii="宋体" w:hAnsi="宋体" w:cs="宋体"/>
          <w:szCs w:val="21"/>
        </w:rPr>
        <w:t>中标人</w:t>
      </w:r>
      <w:r>
        <w:rPr>
          <w:rFonts w:hint="eastAsia"/>
        </w:rPr>
        <w:t>向</w:t>
      </w:r>
      <w:r>
        <w:rPr>
          <w:rFonts w:hint="eastAsia" w:ascii="宋体" w:hAnsi="宋体" w:cs="宋体"/>
          <w:szCs w:val="21"/>
        </w:rPr>
        <w:t>采购人</w:t>
      </w:r>
      <w:r>
        <w:rPr>
          <w:rFonts w:hint="eastAsia"/>
        </w:rPr>
        <w:t>提交本合同项下《前海“城市运营商”模式策略研究（暂定名）》等全部成果初稿，</w:t>
      </w:r>
      <w:r>
        <w:rPr>
          <w:rFonts w:hint="eastAsia" w:ascii="宋体" w:hAnsi="宋体" w:cs="宋体"/>
          <w:szCs w:val="21"/>
        </w:rPr>
        <w:t>采购人</w:t>
      </w:r>
      <w:r>
        <w:rPr>
          <w:rFonts w:hint="eastAsia"/>
        </w:rPr>
        <w:t>在收到成果初稿后5个工作日内进行研究并提出修改意见。自收到修改意见之日起【5】日内，</w:t>
      </w:r>
      <w:r>
        <w:rPr>
          <w:rFonts w:hint="eastAsia" w:ascii="宋体" w:hAnsi="宋体" w:cs="宋体"/>
          <w:szCs w:val="21"/>
        </w:rPr>
        <w:t>投标人</w:t>
      </w:r>
      <w:r>
        <w:rPr>
          <w:rFonts w:hint="eastAsia"/>
        </w:rPr>
        <w:t>应根据修改意见对全部成果初稿进行修改。</w:t>
      </w:r>
    </w:p>
    <w:p>
      <w:pPr>
        <w:spacing w:before="156" w:beforeLines="50" w:after="156" w:afterLines="50" w:line="360" w:lineRule="auto"/>
        <w:ind w:firstLine="420" w:firstLineChars="200"/>
      </w:pPr>
      <w:r>
        <w:rPr>
          <w:rFonts w:hint="eastAsia"/>
        </w:rPr>
        <w:t>2.自合同签订之日起10个月内，</w:t>
      </w:r>
      <w:r>
        <w:rPr>
          <w:rFonts w:hint="eastAsia" w:ascii="宋体" w:hAnsi="宋体" w:cs="宋体"/>
          <w:szCs w:val="21"/>
        </w:rPr>
        <w:t>中标人</w:t>
      </w:r>
      <w:r>
        <w:rPr>
          <w:rFonts w:hint="eastAsia"/>
        </w:rPr>
        <w:t>向</w:t>
      </w:r>
      <w:r>
        <w:rPr>
          <w:rFonts w:hint="eastAsia" w:ascii="宋体" w:hAnsi="宋体" w:cs="宋体"/>
          <w:szCs w:val="21"/>
        </w:rPr>
        <w:t>采购人</w:t>
      </w:r>
      <w:r>
        <w:rPr>
          <w:rFonts w:hint="eastAsia"/>
        </w:rPr>
        <w:t>提交本合同项下《前海“城市运营商”模式策略研究（暂定名）》等全部成果终稿，</w:t>
      </w:r>
      <w:r>
        <w:rPr>
          <w:rFonts w:hint="eastAsia" w:ascii="宋体" w:hAnsi="宋体" w:cs="宋体"/>
          <w:szCs w:val="21"/>
        </w:rPr>
        <w:t>采购人</w:t>
      </w:r>
      <w:r>
        <w:rPr>
          <w:rFonts w:hint="eastAsia"/>
        </w:rPr>
        <w:t>在收到成果终稿后5个工作日内进行研究并提出修改意见。自收到修改意见之日起【5】日内，</w:t>
      </w:r>
      <w:r>
        <w:rPr>
          <w:rFonts w:hint="eastAsia" w:ascii="宋体" w:hAnsi="宋体" w:cs="宋体"/>
          <w:szCs w:val="21"/>
        </w:rPr>
        <w:t>中标人</w:t>
      </w:r>
      <w:r>
        <w:rPr>
          <w:rFonts w:hint="eastAsia"/>
        </w:rPr>
        <w:t>应根据修改意见对全部成果终稿进行修改。</w:t>
      </w:r>
    </w:p>
    <w:p>
      <w:pPr>
        <w:spacing w:before="156" w:beforeLines="50" w:after="156" w:afterLines="50" w:line="360" w:lineRule="auto"/>
        <w:ind w:firstLine="420" w:firstLineChars="200"/>
        <w:rPr>
          <w:rFonts w:ascii="宋体" w:hAnsi="宋体" w:cs="宋体"/>
          <w:szCs w:val="21"/>
        </w:rPr>
      </w:pPr>
      <w:r>
        <w:rPr>
          <w:rFonts w:hint="eastAsia" w:ascii="宋体" w:hAnsi="宋体" w:cs="宋体"/>
          <w:szCs w:val="21"/>
        </w:rPr>
        <w:t>3. 中标人</w:t>
      </w:r>
      <w:r>
        <w:rPr>
          <w:rFonts w:ascii="宋体" w:hAnsi="宋体" w:cs="宋体"/>
          <w:szCs w:val="21"/>
        </w:rPr>
        <w:t>提交的本项目最终成果通过</w:t>
      </w:r>
      <w:r>
        <w:rPr>
          <w:rFonts w:hint="eastAsia" w:ascii="宋体" w:hAnsi="宋体" w:cs="宋体"/>
          <w:szCs w:val="21"/>
        </w:rPr>
        <w:t>采购人</w:t>
      </w:r>
      <w:r>
        <w:rPr>
          <w:rFonts w:ascii="宋体" w:hAnsi="宋体" w:cs="宋体"/>
          <w:szCs w:val="21"/>
        </w:rPr>
        <w:t>审查验收之日起的1年为本项目后续服务期，服务期内，</w:t>
      </w:r>
      <w:r>
        <w:rPr>
          <w:rFonts w:hint="eastAsia" w:ascii="宋体" w:hAnsi="宋体" w:cs="宋体"/>
          <w:szCs w:val="21"/>
        </w:rPr>
        <w:t>中标人</w:t>
      </w:r>
      <w:r>
        <w:rPr>
          <w:rFonts w:ascii="宋体" w:hAnsi="宋体" w:cs="宋体"/>
          <w:szCs w:val="21"/>
        </w:rPr>
        <w:t>应与</w:t>
      </w:r>
      <w:r>
        <w:rPr>
          <w:rFonts w:hint="eastAsia" w:ascii="宋体" w:hAnsi="宋体" w:cs="宋体"/>
          <w:szCs w:val="21"/>
        </w:rPr>
        <w:t>采购人</w:t>
      </w:r>
      <w:r>
        <w:rPr>
          <w:rFonts w:ascii="宋体" w:hAnsi="宋体" w:cs="宋体"/>
          <w:szCs w:val="21"/>
        </w:rPr>
        <w:t>保持全面沟通，提供技术服务支持。后续服务期内，</w:t>
      </w:r>
      <w:r>
        <w:rPr>
          <w:rFonts w:hint="eastAsia" w:ascii="宋体" w:hAnsi="宋体" w:cs="宋体"/>
          <w:szCs w:val="21"/>
        </w:rPr>
        <w:t>中标人</w:t>
      </w:r>
      <w:r>
        <w:rPr>
          <w:rFonts w:ascii="宋体" w:hAnsi="宋体" w:cs="宋体"/>
          <w:szCs w:val="21"/>
        </w:rPr>
        <w:t>应自收到</w:t>
      </w:r>
      <w:r>
        <w:rPr>
          <w:rFonts w:hint="eastAsia" w:ascii="宋体" w:hAnsi="宋体" w:cs="宋体"/>
          <w:szCs w:val="21"/>
        </w:rPr>
        <w:t>采购人</w:t>
      </w:r>
      <w:r>
        <w:rPr>
          <w:rFonts w:ascii="宋体" w:hAnsi="宋体" w:cs="宋体"/>
          <w:szCs w:val="21"/>
        </w:rPr>
        <w:t>咨询起24小时以内予以回复。</w:t>
      </w:r>
    </w:p>
    <w:p>
      <w:pPr>
        <w:spacing w:before="156" w:beforeLines="50" w:after="156" w:afterLines="50"/>
        <w:ind w:firstLine="422" w:firstLineChars="200"/>
        <w:rPr>
          <w:rFonts w:ascii="宋体" w:hAnsi="宋体" w:cs="宋体"/>
          <w:b/>
          <w:bCs/>
          <w:szCs w:val="21"/>
        </w:rPr>
      </w:pPr>
      <w:r>
        <w:rPr>
          <w:rFonts w:hint="eastAsia" w:ascii="宋体" w:hAnsi="宋体" w:cs="宋体"/>
          <w:b/>
          <w:bCs/>
          <w:szCs w:val="21"/>
        </w:rPr>
        <w:t>（二）项目预算</w:t>
      </w:r>
    </w:p>
    <w:p>
      <w:pPr>
        <w:pStyle w:val="17"/>
        <w:spacing w:before="0" w:beforeAutospacing="0" w:after="0" w:afterAutospacing="0" w:line="360" w:lineRule="auto"/>
        <w:ind w:firstLine="420" w:firstLineChars="200"/>
        <w:rPr>
          <w:bCs/>
          <w:color w:val="000000"/>
          <w:sz w:val="21"/>
          <w:szCs w:val="21"/>
        </w:rPr>
      </w:pPr>
      <w:r>
        <w:rPr>
          <w:rStyle w:val="44"/>
          <w:rFonts w:hint="eastAsia"/>
          <w:bCs/>
          <w:sz w:val="21"/>
          <w:szCs w:val="21"/>
        </w:rPr>
        <w:t>本项目招标总价控制为80</w:t>
      </w:r>
      <w:r>
        <w:rPr>
          <w:rStyle w:val="44"/>
          <w:bCs/>
          <w:sz w:val="21"/>
          <w:szCs w:val="21"/>
        </w:rPr>
        <w:t>万</w:t>
      </w:r>
      <w:r>
        <w:rPr>
          <w:rStyle w:val="44"/>
          <w:rFonts w:hint="eastAsia"/>
          <w:bCs/>
          <w:sz w:val="21"/>
          <w:szCs w:val="21"/>
        </w:rPr>
        <w:t>元，财政性资金100%。</w:t>
      </w:r>
    </w:p>
    <w:p>
      <w:pPr>
        <w:spacing w:before="156" w:beforeLines="50" w:after="156" w:afterLines="50"/>
        <w:ind w:firstLine="422" w:firstLineChars="200"/>
        <w:rPr>
          <w:rFonts w:ascii="宋体" w:hAnsi="宋体" w:cs="宋体"/>
          <w:b/>
          <w:bCs/>
          <w:szCs w:val="21"/>
        </w:rPr>
      </w:pPr>
      <w:r>
        <w:rPr>
          <w:rFonts w:hint="eastAsia" w:ascii="宋体" w:hAnsi="宋体" w:cs="宋体"/>
          <w:b/>
          <w:bCs/>
          <w:szCs w:val="21"/>
        </w:rPr>
        <w:t>（三）付款方式</w:t>
      </w:r>
    </w:p>
    <w:p>
      <w:pPr>
        <w:widowControl/>
        <w:spacing w:line="360" w:lineRule="auto"/>
        <w:ind w:firstLine="420" w:firstLineChars="200"/>
        <w:rPr>
          <w:rFonts w:ascii="宋体" w:hAnsi="宋体" w:cs="宋体"/>
          <w:szCs w:val="21"/>
        </w:rPr>
      </w:pPr>
      <w:bookmarkStart w:id="36" w:name="_Toc21600"/>
      <w:r>
        <w:rPr>
          <w:rFonts w:hint="eastAsia" w:ascii="宋体" w:hAnsi="宋体" w:cs="宋体"/>
          <w:szCs w:val="21"/>
        </w:rPr>
        <w:t>合同价款由采购人分</w:t>
      </w:r>
      <w:r>
        <w:rPr>
          <w:rFonts w:ascii="宋体" w:hAnsi="宋体" w:cs="宋体"/>
          <w:szCs w:val="21"/>
        </w:rPr>
        <w:t>2</w:t>
      </w:r>
      <w:r>
        <w:rPr>
          <w:rFonts w:hint="eastAsia" w:ascii="宋体" w:hAnsi="宋体" w:cs="宋体"/>
          <w:szCs w:val="21"/>
        </w:rPr>
        <w:t>期付至中标单位指定银行账户，支付比例为</w:t>
      </w:r>
      <w:r>
        <w:rPr>
          <w:rFonts w:ascii="宋体" w:hAnsi="宋体" w:cs="宋体"/>
          <w:szCs w:val="21"/>
        </w:rPr>
        <w:t>5</w:t>
      </w:r>
      <w:r>
        <w:rPr>
          <w:rFonts w:hint="eastAsia" w:ascii="宋体" w:hAnsi="宋体" w:cs="宋体"/>
          <w:szCs w:val="21"/>
        </w:rPr>
        <w:t>0%（签订</w:t>
      </w:r>
      <w:r>
        <w:rPr>
          <w:rFonts w:ascii="宋体" w:hAnsi="宋体" w:cs="宋体"/>
          <w:szCs w:val="21"/>
        </w:rPr>
        <w:t>合同之日起</w:t>
      </w:r>
      <w:r>
        <w:rPr>
          <w:rFonts w:hint="eastAsia" w:ascii="宋体" w:hAnsi="宋体" w:cs="宋体"/>
          <w:szCs w:val="21"/>
        </w:rPr>
        <w:t>15个</w:t>
      </w:r>
      <w:r>
        <w:rPr>
          <w:rFonts w:ascii="宋体" w:hAnsi="宋体" w:cs="宋体"/>
          <w:szCs w:val="21"/>
        </w:rPr>
        <w:t>工作日</w:t>
      </w:r>
      <w:r>
        <w:rPr>
          <w:rFonts w:hint="eastAsia" w:ascii="宋体" w:hAnsi="宋体" w:cs="宋体"/>
          <w:szCs w:val="21"/>
        </w:rPr>
        <w:t>内）、</w:t>
      </w:r>
      <w:r>
        <w:rPr>
          <w:rFonts w:ascii="宋体" w:hAnsi="宋体" w:cs="宋体"/>
          <w:szCs w:val="21"/>
        </w:rPr>
        <w:t>5</w:t>
      </w:r>
      <w:r>
        <w:rPr>
          <w:rFonts w:hint="eastAsia" w:ascii="宋体" w:hAnsi="宋体" w:cs="宋体"/>
          <w:szCs w:val="21"/>
        </w:rPr>
        <w:t>0%（中标人完成最终成果，并经采购人审查通过后）。</w:t>
      </w:r>
    </w:p>
    <w:p>
      <w:pPr>
        <w:spacing w:before="156" w:beforeLines="50" w:after="156" w:afterLines="50"/>
        <w:ind w:firstLine="422" w:firstLineChars="200"/>
        <w:rPr>
          <w:rFonts w:ascii="宋体" w:hAnsi="宋体" w:cs="宋体"/>
          <w:b/>
          <w:bCs/>
          <w:szCs w:val="21"/>
        </w:rPr>
      </w:pPr>
      <w:r>
        <w:rPr>
          <w:rFonts w:hint="eastAsia" w:ascii="宋体" w:hAnsi="宋体" w:cs="宋体"/>
          <w:b/>
          <w:bCs/>
          <w:szCs w:val="21"/>
        </w:rPr>
        <w:t>（四）</w:t>
      </w:r>
      <w:bookmarkEnd w:id="36"/>
      <w:r>
        <w:rPr>
          <w:rFonts w:hint="eastAsia" w:ascii="宋体" w:hAnsi="宋体" w:cs="宋体"/>
          <w:b/>
          <w:bCs/>
          <w:szCs w:val="21"/>
        </w:rPr>
        <w:t>项目成果</w:t>
      </w:r>
    </w:p>
    <w:p>
      <w:pPr>
        <w:widowControl/>
        <w:spacing w:line="360" w:lineRule="auto"/>
        <w:ind w:firstLine="420" w:firstLineChars="200"/>
        <w:rPr>
          <w:rFonts w:ascii="宋体" w:hAnsi="宋体" w:cs="宋体"/>
          <w:szCs w:val="21"/>
        </w:rPr>
      </w:pPr>
      <w:bookmarkStart w:id="37" w:name="_Toc12848"/>
      <w:r>
        <w:rPr>
          <w:rFonts w:hint="eastAsia" w:ascii="宋体" w:hAnsi="宋体" w:cs="宋体"/>
          <w:szCs w:val="21"/>
        </w:rPr>
        <w:t>1.《深港合作战略下的前海城市综合运营模式研究（暂定名，送审稿）》（电子版1套、加盖公章纸质版5套）；</w:t>
      </w:r>
    </w:p>
    <w:p>
      <w:pPr>
        <w:spacing w:before="156" w:beforeLines="50" w:after="156" w:afterLines="50"/>
        <w:ind w:firstLine="420" w:firstLineChars="200"/>
        <w:rPr>
          <w:rFonts w:ascii="宋体" w:hAnsi="宋体" w:cs="宋体"/>
          <w:szCs w:val="21"/>
        </w:rPr>
      </w:pPr>
      <w:r>
        <w:rPr>
          <w:rFonts w:hint="eastAsia" w:ascii="宋体" w:hAnsi="宋体" w:cs="宋体"/>
          <w:szCs w:val="21"/>
        </w:rPr>
        <w:t>2. 深化前海创新城市运营商模式的政策建议（暂定名）（电子版1套、加盖公章纸质版5套）。</w:t>
      </w:r>
    </w:p>
    <w:p>
      <w:pPr>
        <w:spacing w:before="156" w:beforeLines="50" w:after="156" w:afterLines="50"/>
        <w:ind w:firstLine="422" w:firstLineChars="200"/>
        <w:rPr>
          <w:rFonts w:ascii="宋体" w:hAnsi="宋体" w:cs="宋体"/>
          <w:b/>
          <w:bCs/>
          <w:szCs w:val="21"/>
        </w:rPr>
      </w:pPr>
      <w:r>
        <w:rPr>
          <w:rFonts w:hint="eastAsia" w:ascii="宋体" w:hAnsi="宋体" w:cs="宋体"/>
          <w:b/>
          <w:bCs/>
          <w:szCs w:val="21"/>
        </w:rPr>
        <w:t>（五）</w:t>
      </w:r>
      <w:bookmarkEnd w:id="37"/>
      <w:r>
        <w:rPr>
          <w:rFonts w:hint="eastAsia" w:ascii="宋体" w:hAnsi="宋体" w:cs="宋体"/>
          <w:b/>
          <w:bCs/>
          <w:szCs w:val="21"/>
        </w:rPr>
        <w:t>项目人员</w:t>
      </w:r>
    </w:p>
    <w:p>
      <w:pPr>
        <w:widowControl/>
        <w:spacing w:line="360" w:lineRule="auto"/>
        <w:ind w:firstLine="420" w:firstLineChars="200"/>
        <w:rPr>
          <w:rFonts w:ascii="宋体" w:hAnsi="宋体" w:cs="宋体"/>
          <w:szCs w:val="21"/>
        </w:rPr>
      </w:pPr>
      <w:bookmarkStart w:id="38" w:name="_Toc25577"/>
      <w:r>
        <w:rPr>
          <w:rFonts w:hint="eastAsia" w:ascii="宋体" w:hAnsi="宋体" w:cs="宋体"/>
          <w:szCs w:val="21"/>
        </w:rPr>
        <w:t>中标人项目团队成员应不少于7人（不含项目总负责人），项目负责人需为中标人自有员工，具有副高级（含）以上职称，团队成员需具备土地资源管理、城市规划、经济学、及</w:t>
      </w:r>
      <w:r>
        <w:rPr>
          <w:rFonts w:ascii="宋体" w:hAnsi="宋体" w:cs="宋体"/>
          <w:szCs w:val="21"/>
        </w:rPr>
        <w:t>法学专业领域研究人员</w:t>
      </w:r>
      <w:r>
        <w:rPr>
          <w:rFonts w:hint="eastAsia" w:ascii="宋体" w:hAnsi="宋体" w:cs="宋体"/>
          <w:szCs w:val="21"/>
        </w:rPr>
        <w:t>。</w:t>
      </w:r>
    </w:p>
    <w:p>
      <w:pPr>
        <w:widowControl/>
        <w:spacing w:line="360" w:lineRule="auto"/>
        <w:ind w:firstLine="420" w:firstLineChars="200"/>
        <w:rPr>
          <w:rFonts w:ascii="宋体" w:hAnsi="宋体"/>
          <w:color w:val="000000"/>
          <w:kern w:val="0"/>
          <w:szCs w:val="21"/>
          <w:lang w:val="zh-CN"/>
        </w:rPr>
      </w:pPr>
      <w:r>
        <w:rPr>
          <w:rFonts w:hint="eastAsia" w:ascii="宋体" w:hAnsi="宋体" w:cs="宋体"/>
          <w:szCs w:val="21"/>
        </w:rPr>
        <w:t>中标人项目团队需具备城市运营、城市更新、</w:t>
      </w:r>
      <w:r>
        <w:t>产业发展、土地资源配置、住房（保障）政策</w:t>
      </w:r>
      <w:r>
        <w:rPr>
          <w:rFonts w:hint="eastAsia" w:ascii="宋体" w:hAnsi="宋体" w:cs="宋体"/>
          <w:szCs w:val="21"/>
        </w:rPr>
        <w:t xml:space="preserve">等相关课题及土地政策研究经验。 </w:t>
      </w:r>
    </w:p>
    <w:p>
      <w:pPr>
        <w:spacing w:before="156" w:beforeLines="50" w:after="156" w:afterLines="50"/>
        <w:ind w:firstLine="422" w:firstLineChars="200"/>
        <w:rPr>
          <w:rFonts w:ascii="宋体" w:hAnsi="宋体" w:cs="宋体"/>
          <w:b/>
          <w:bCs/>
          <w:szCs w:val="21"/>
        </w:rPr>
      </w:pPr>
      <w:r>
        <w:rPr>
          <w:rFonts w:hint="eastAsia" w:ascii="宋体" w:hAnsi="宋体" w:cs="宋体"/>
          <w:b/>
          <w:bCs/>
          <w:szCs w:val="21"/>
        </w:rPr>
        <w:t>（六）验收方式及后续服务</w:t>
      </w:r>
    </w:p>
    <w:p>
      <w:pPr>
        <w:spacing w:before="156" w:beforeLines="50" w:after="156" w:afterLines="50" w:line="360" w:lineRule="auto"/>
        <w:ind w:firstLine="420" w:firstLineChars="200"/>
        <w:rPr>
          <w:rFonts w:ascii="宋体" w:hAnsi="宋体" w:cs="宋体"/>
          <w:b/>
          <w:bCs/>
          <w:szCs w:val="21"/>
        </w:rPr>
      </w:pPr>
      <w:r>
        <w:rPr>
          <w:rFonts w:hint="eastAsia" w:ascii="宋体" w:hAnsi="宋体" w:cs="宋体"/>
          <w:bCs/>
          <w:szCs w:val="21"/>
        </w:rPr>
        <w:t>1.</w:t>
      </w:r>
      <w:r>
        <w:rPr>
          <w:rFonts w:ascii="宋体" w:hAnsi="宋体" w:cs="宋体"/>
          <w:szCs w:val="21"/>
        </w:rPr>
        <w:t xml:space="preserve"> 项目成果须经</w:t>
      </w:r>
      <w:r>
        <w:rPr>
          <w:rFonts w:hint="eastAsia" w:ascii="宋体" w:hAnsi="宋体" w:cs="宋体"/>
          <w:szCs w:val="21"/>
        </w:rPr>
        <w:t>采购人</w:t>
      </w:r>
      <w:r>
        <w:rPr>
          <w:rFonts w:ascii="宋体" w:hAnsi="宋体" w:cs="宋体"/>
          <w:szCs w:val="21"/>
        </w:rPr>
        <w:t>验收通过</w:t>
      </w:r>
      <w:r>
        <w:rPr>
          <w:rFonts w:hint="eastAsia" w:ascii="宋体" w:hAnsi="宋体" w:cs="宋体"/>
          <w:b/>
          <w:bCs/>
          <w:szCs w:val="21"/>
        </w:rPr>
        <w:t>。</w:t>
      </w:r>
    </w:p>
    <w:p>
      <w:pPr>
        <w:spacing w:before="156" w:beforeLines="50" w:after="156" w:afterLines="50" w:line="360" w:lineRule="auto"/>
        <w:ind w:firstLine="420" w:firstLineChars="200"/>
      </w:pPr>
      <w:r>
        <w:rPr>
          <w:rFonts w:hint="eastAsia"/>
        </w:rPr>
        <w:t>1. 验收标准</w:t>
      </w:r>
    </w:p>
    <w:p>
      <w:pPr>
        <w:spacing w:before="156" w:beforeLines="50" w:after="156" w:afterLines="50" w:line="360" w:lineRule="auto"/>
        <w:ind w:firstLine="420" w:firstLineChars="200"/>
      </w:pPr>
      <w:r>
        <w:rPr>
          <w:rFonts w:hint="eastAsia"/>
        </w:rPr>
        <w:t>上述成果应具备可操作性、可执行性，指导前海合作区与自贸片区进一步争取改革授权、强化政策集成和制度创新，为开放发展增创新优势。</w:t>
      </w:r>
    </w:p>
    <w:p>
      <w:pPr>
        <w:spacing w:before="156" w:beforeLines="50" w:after="156" w:afterLines="50" w:line="360" w:lineRule="auto"/>
        <w:ind w:firstLine="420" w:firstLineChars="200"/>
      </w:pPr>
      <w:r>
        <w:rPr>
          <w:rFonts w:hint="eastAsia"/>
        </w:rPr>
        <w:t>2. 验收方式</w:t>
      </w:r>
    </w:p>
    <w:p>
      <w:pPr>
        <w:spacing w:before="156" w:beforeLines="50" w:after="156" w:afterLines="50" w:line="360" w:lineRule="auto"/>
        <w:ind w:firstLine="420" w:firstLineChars="200"/>
        <w:rPr>
          <w:color w:val="FF0000"/>
        </w:rPr>
      </w:pPr>
      <w:r>
        <w:rPr>
          <w:rFonts w:hint="eastAsia"/>
          <w:color w:val="FF0000"/>
        </w:rPr>
        <w:t>根据验收标准要求，</w:t>
      </w:r>
      <w:r>
        <w:rPr>
          <w:rFonts w:hint="eastAsia" w:ascii="宋体" w:hAnsi="宋体" w:cs="宋体"/>
          <w:color w:val="FF0000"/>
          <w:szCs w:val="21"/>
        </w:rPr>
        <w:t>中标人</w:t>
      </w:r>
      <w:r>
        <w:rPr>
          <w:rFonts w:hint="eastAsia"/>
          <w:color w:val="FF0000"/>
        </w:rPr>
        <w:t>应按</w:t>
      </w:r>
      <w:r>
        <w:rPr>
          <w:rFonts w:hint="eastAsia" w:ascii="宋体" w:hAnsi="宋体" w:cs="宋体"/>
          <w:color w:val="FF0000"/>
          <w:szCs w:val="21"/>
        </w:rPr>
        <w:t>采购人</w:t>
      </w:r>
      <w:r>
        <w:rPr>
          <w:rFonts w:hint="eastAsia"/>
          <w:color w:val="FF0000"/>
        </w:rPr>
        <w:t>规定的技术及时间要求，完成相应工作成果并全部提交。通过组织专家评审论证会方式验收。</w:t>
      </w:r>
    </w:p>
    <w:p>
      <w:pPr>
        <w:spacing w:before="156" w:beforeLines="50" w:after="156" w:afterLines="50" w:line="360" w:lineRule="auto"/>
        <w:ind w:firstLine="420" w:firstLineChars="200"/>
      </w:pPr>
      <w:r>
        <w:rPr>
          <w:rFonts w:hint="eastAsia"/>
        </w:rPr>
        <w:t>3. 其他要求</w:t>
      </w:r>
    </w:p>
    <w:p>
      <w:pPr>
        <w:spacing w:before="156" w:beforeLines="50" w:after="156" w:afterLines="50" w:line="360" w:lineRule="auto"/>
        <w:ind w:firstLine="420" w:firstLineChars="200"/>
      </w:pPr>
      <w:r>
        <w:rPr>
          <w:rFonts w:hint="eastAsia"/>
        </w:rPr>
        <w:t>保证理论与实际相结合，</w:t>
      </w:r>
      <w:r>
        <w:rPr>
          <w:rFonts w:hint="eastAsia" w:ascii="宋体" w:hAnsi="宋体" w:cs="宋体"/>
          <w:szCs w:val="21"/>
        </w:rPr>
        <w:t>中标人</w:t>
      </w:r>
      <w:r>
        <w:rPr>
          <w:rFonts w:hint="eastAsia"/>
        </w:rPr>
        <w:t>应至少开展2次实地调研；</w:t>
      </w:r>
    </w:p>
    <w:p>
      <w:pPr>
        <w:spacing w:before="156" w:beforeLines="50" w:after="156" w:afterLines="50" w:line="360" w:lineRule="auto"/>
        <w:ind w:firstLine="420" w:firstLineChars="200"/>
      </w:pPr>
      <w:r>
        <w:rPr>
          <w:rFonts w:hint="eastAsia"/>
        </w:rPr>
        <w:t>注重课题研究成果的对策性和实用性，避免过分理论性的研究，课题成果中紧扣前海开发开放实际情况的分析占比须达60%以上；</w:t>
      </w:r>
    </w:p>
    <w:p>
      <w:pPr>
        <w:spacing w:before="156" w:beforeLines="50" w:after="156" w:afterLines="50" w:line="360" w:lineRule="auto"/>
        <w:ind w:firstLine="420" w:firstLineChars="200"/>
      </w:pPr>
      <w:r>
        <w:rPr>
          <w:rFonts w:hint="eastAsia"/>
        </w:rPr>
        <w:t>课题研究完成后，</w:t>
      </w:r>
      <w:r>
        <w:rPr>
          <w:rFonts w:hint="eastAsia" w:ascii="宋体" w:hAnsi="宋体" w:cs="宋体"/>
          <w:szCs w:val="21"/>
        </w:rPr>
        <w:t>中标人</w:t>
      </w:r>
      <w:r>
        <w:rPr>
          <w:rFonts w:hint="eastAsia"/>
        </w:rPr>
        <w:t>需通过第三方查重系统对课题成果进行内容查重，重复率不得超过20%；</w:t>
      </w:r>
    </w:p>
    <w:p>
      <w:pPr>
        <w:spacing w:before="156" w:beforeLines="50" w:after="156" w:afterLines="50"/>
        <w:ind w:firstLine="420" w:firstLineChars="200"/>
      </w:pPr>
      <w:r>
        <w:rPr>
          <w:rFonts w:hint="eastAsia"/>
        </w:rPr>
        <w:t>严禁弄虚作假、抄袭剽窃等违规行为。</w:t>
      </w:r>
    </w:p>
    <w:bookmarkEnd w:id="38"/>
    <w:p>
      <w:pPr>
        <w:spacing w:before="156" w:beforeLines="50" w:after="156" w:afterLines="50"/>
        <w:ind w:firstLine="422" w:firstLineChars="200"/>
        <w:rPr>
          <w:rFonts w:ascii="宋体" w:hAnsi="宋体" w:cs="宋体"/>
          <w:b/>
          <w:bCs/>
          <w:szCs w:val="21"/>
        </w:rPr>
      </w:pPr>
      <w:bookmarkStart w:id="39" w:name="_Toc12785"/>
      <w:r>
        <w:rPr>
          <w:rFonts w:hint="eastAsia" w:ascii="宋体" w:hAnsi="宋体" w:cs="宋体"/>
          <w:b/>
          <w:bCs/>
          <w:szCs w:val="21"/>
        </w:rPr>
        <w:t>★（七）成果归属</w:t>
      </w:r>
      <w:bookmarkEnd w:id="39"/>
    </w:p>
    <w:p>
      <w:pPr>
        <w:widowControl/>
        <w:spacing w:line="360" w:lineRule="auto"/>
        <w:ind w:firstLine="420" w:firstLineChars="200"/>
        <w:rPr>
          <w:rFonts w:ascii="宋体" w:hAnsi="宋体" w:cs="宋体"/>
          <w:szCs w:val="21"/>
        </w:rPr>
      </w:pPr>
      <w:r>
        <w:rPr>
          <w:rFonts w:hint="eastAsia" w:ascii="宋体" w:hAnsi="宋体" w:cs="宋体"/>
          <w:szCs w:val="21"/>
        </w:rPr>
        <w:t>1.双方对合同有关的知识产权以及与之相关的所有权利归属约定如下：本项目全部阶段性成果和最终成果（包括为后续服务范围所编制的文件）的知识产权以及与之相关的所有权利归采购人所有；合同签署前双方已经拥有的知识产权权利，仍归各自所有。</w:t>
      </w:r>
    </w:p>
    <w:p>
      <w:pPr>
        <w:widowControl/>
        <w:spacing w:line="360" w:lineRule="auto"/>
        <w:ind w:firstLine="420" w:firstLineChars="200"/>
        <w:rPr>
          <w:rFonts w:ascii="宋体" w:hAnsi="宋体"/>
          <w:szCs w:val="21"/>
        </w:rPr>
      </w:pPr>
      <w:r>
        <w:rPr>
          <w:rFonts w:hint="eastAsia" w:ascii="宋体" w:hAnsi="宋体" w:cs="宋体"/>
          <w:szCs w:val="21"/>
        </w:rPr>
        <w:t>2.双方确定，采购人有权对中标</w:t>
      </w:r>
      <w:r>
        <w:rPr>
          <w:rFonts w:hint="eastAsia" w:ascii="宋体" w:hAnsi="宋体"/>
          <w:szCs w:val="21"/>
        </w:rPr>
        <w:t>人按照本合同约定提供的成果进行后续改进。由此产生的具有实质性或创造性技术进步特征的新的技术成果及其权利全部由采购人享有。</w:t>
      </w:r>
    </w:p>
    <w:p>
      <w:pPr>
        <w:widowControl/>
        <w:spacing w:line="360" w:lineRule="auto"/>
        <w:ind w:firstLine="420" w:firstLineChars="200"/>
        <w:rPr>
          <w:rFonts w:ascii="宋体" w:hAnsi="宋体"/>
          <w:szCs w:val="21"/>
        </w:rPr>
      </w:pPr>
      <w:r>
        <w:rPr>
          <w:rFonts w:ascii="宋体" w:hAnsi="宋体"/>
          <w:szCs w:val="21"/>
        </w:rPr>
        <w:t>3</w:t>
      </w:r>
      <w:r>
        <w:rPr>
          <w:rFonts w:hint="eastAsia" w:ascii="宋体" w:hAnsi="宋体"/>
          <w:szCs w:val="21"/>
        </w:rPr>
        <w:t>.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相应损失的权利，包括但不限于上述索赔或责任所产生的诉讼费用、合理的律师费用、鉴定评估费用、调查费用、和解金额或生效法律文书中规定的赔偿金额。</w:t>
      </w:r>
    </w:p>
    <w:p>
      <w:pPr>
        <w:widowControl/>
        <w:spacing w:line="360" w:lineRule="auto"/>
        <w:ind w:firstLine="420" w:firstLineChars="200"/>
        <w:rPr>
          <w:rFonts w:ascii="宋体" w:hAnsi="宋体"/>
          <w:szCs w:val="21"/>
        </w:rPr>
      </w:pPr>
      <w:r>
        <w:rPr>
          <w:rFonts w:ascii="宋体" w:hAnsi="宋体"/>
          <w:szCs w:val="21"/>
        </w:rPr>
        <w:t>4</w:t>
      </w:r>
      <w:r>
        <w:rPr>
          <w:rFonts w:hint="eastAsia" w:ascii="宋体" w:hAnsi="宋体"/>
          <w:szCs w:val="21"/>
        </w:rPr>
        <w:t>.未经采购人书面在先同意，中标人不得将本项目的阶段性成果和最终成果文件及任何数据、资料、软件向任何第三方转让、授权任何第三方使用或用于合同项目外的其他项目。如发生以上情况，中标人应向采购人支付合同总价款20%的违约金，如果违约金无法弥补采购人的损失，采购人有权要求中标人赔偿全部损失。</w:t>
      </w:r>
    </w:p>
    <w:p>
      <w:pPr>
        <w:widowControl/>
        <w:spacing w:line="360" w:lineRule="auto"/>
        <w:ind w:firstLine="420" w:firstLineChars="200"/>
        <w:rPr>
          <w:rFonts w:ascii="宋体" w:hAnsi="宋体"/>
          <w:szCs w:val="21"/>
        </w:rPr>
      </w:pPr>
      <w:r>
        <w:rPr>
          <w:rFonts w:ascii="宋体" w:hAnsi="宋体"/>
          <w:szCs w:val="21"/>
        </w:rPr>
        <w:t>5</w:t>
      </w:r>
      <w:r>
        <w:rPr>
          <w:rFonts w:hint="eastAsia" w:ascii="宋体" w:hAnsi="宋体"/>
          <w:szCs w:val="21"/>
        </w:rPr>
        <w:t>.中标人完成合同项目的研究人员享有在有关技术成果文件上写明技术成果完成者的权利和与采购人共同获得有关荣誉证书、奖励的权利。</w:t>
      </w:r>
    </w:p>
    <w:p>
      <w:pPr>
        <w:widowControl/>
        <w:spacing w:line="360" w:lineRule="auto"/>
        <w:ind w:firstLine="422" w:firstLineChars="200"/>
        <w:rPr>
          <w:rFonts w:ascii="宋体" w:hAnsi="宋体"/>
          <w:b/>
          <w:szCs w:val="21"/>
        </w:rPr>
      </w:pPr>
      <w:r>
        <w:rPr>
          <w:b/>
          <w:szCs w:val="21"/>
        </w:rPr>
        <w:t>★</w:t>
      </w:r>
      <w:r>
        <w:rPr>
          <w:rFonts w:hint="eastAsia" w:ascii="宋体" w:hAnsi="宋体" w:cs="宋体"/>
          <w:b/>
          <w:kern w:val="0"/>
          <w:szCs w:val="21"/>
        </w:rPr>
        <w:t>（八）</w:t>
      </w:r>
      <w:r>
        <w:rPr>
          <w:rFonts w:hint="eastAsia" w:ascii="宋体" w:hAnsi="宋体"/>
          <w:b/>
          <w:szCs w:val="21"/>
        </w:rPr>
        <w:t>保密条款</w:t>
      </w:r>
    </w:p>
    <w:p>
      <w:pPr>
        <w:widowControl/>
        <w:spacing w:line="360" w:lineRule="auto"/>
        <w:ind w:firstLine="420" w:firstLineChars="200"/>
        <w:rPr>
          <w:rFonts w:ascii="宋体" w:hAnsi="宋体"/>
          <w:szCs w:val="21"/>
        </w:rPr>
      </w:pPr>
      <w:r>
        <w:rPr>
          <w:rFonts w:hint="eastAsia" w:ascii="宋体" w:hAnsi="宋体"/>
          <w:szCs w:val="21"/>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20" w:firstLineChars="200"/>
        <w:rPr>
          <w:rFonts w:ascii="宋体" w:hAnsi="宋体"/>
          <w:szCs w:val="21"/>
        </w:rPr>
      </w:pPr>
      <w:r>
        <w:rPr>
          <w:rFonts w:hint="eastAsia" w:ascii="宋体" w:hAnsi="宋体"/>
          <w:szCs w:val="21"/>
        </w:rPr>
        <w:t>2.双方</w:t>
      </w:r>
      <w:r>
        <w:rPr>
          <w:rFonts w:ascii="宋体" w:hAnsi="宋体"/>
          <w:szCs w:val="21"/>
        </w:rPr>
        <w:t>应遵守国家的有关保密规定。妥善保管对方提供的资料，保守对方的各项秘密，并保护对方的知识产权</w:t>
      </w:r>
      <w:r>
        <w:rPr>
          <w:rFonts w:hint="eastAsia" w:ascii="宋体" w:hAnsi="宋体"/>
          <w:szCs w:val="21"/>
        </w:rPr>
        <w:t>。获取对方秘密的一方应当采取有效的保护方式防止秘密未经授权而被使用、传播或公开，仅可以将该秘密用于履行其在本合同项下的义务，且只能由相关的技术人员使用。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20" w:firstLineChars="200"/>
        <w:rPr>
          <w:rFonts w:ascii="宋体" w:hAnsi="宋体"/>
          <w:szCs w:val="21"/>
        </w:rPr>
      </w:pPr>
      <w:r>
        <w:rPr>
          <w:rFonts w:hint="eastAsia" w:ascii="宋体" w:hAnsi="宋体"/>
          <w:szCs w:val="21"/>
        </w:rPr>
        <w:t>3.中标人应</w:t>
      </w:r>
      <w:r>
        <w:rPr>
          <w:rFonts w:ascii="宋体" w:hAnsi="宋体"/>
          <w:szCs w:val="21"/>
        </w:rPr>
        <w:t>以保密方式处理</w:t>
      </w:r>
      <w:r>
        <w:rPr>
          <w:rFonts w:hint="eastAsia" w:ascii="宋体" w:hAnsi="宋体"/>
          <w:szCs w:val="21"/>
        </w:rPr>
        <w:t>在编制本项目成果文件过程中自采购人、采购人工作人员或采购人关联机构获得的相关信息、资料、图纸、数据等，或由采购人在履行合同过程中明确指明为秘密的任何信息,</w:t>
      </w:r>
      <w:r>
        <w:rPr>
          <w:rFonts w:ascii="宋体" w:hAnsi="宋体"/>
          <w:szCs w:val="21"/>
        </w:rPr>
        <w:t>以及</w:t>
      </w:r>
      <w:r>
        <w:rPr>
          <w:rFonts w:hint="eastAsia" w:ascii="宋体" w:hAnsi="宋体"/>
          <w:szCs w:val="21"/>
        </w:rPr>
        <w:t>中标人</w:t>
      </w:r>
      <w:r>
        <w:rPr>
          <w:rFonts w:ascii="宋体" w:hAnsi="宋体"/>
          <w:szCs w:val="21"/>
        </w:rPr>
        <w:t>因本项目工作所直接或间接取得、处理或接触的任何其他资料。未经</w:t>
      </w:r>
      <w:r>
        <w:rPr>
          <w:rFonts w:hint="eastAsia" w:ascii="宋体" w:hAnsi="宋体"/>
          <w:szCs w:val="21"/>
        </w:rPr>
        <w:t>采购人书面在先</w:t>
      </w:r>
      <w:r>
        <w:rPr>
          <w:rFonts w:ascii="宋体" w:hAnsi="宋体"/>
          <w:szCs w:val="21"/>
        </w:rPr>
        <w:t>同意，</w:t>
      </w:r>
      <w:r>
        <w:rPr>
          <w:rFonts w:hint="eastAsia" w:ascii="宋体" w:hAnsi="宋体"/>
          <w:szCs w:val="21"/>
        </w:rPr>
        <w:t>中标人</w:t>
      </w:r>
      <w:r>
        <w:rPr>
          <w:rFonts w:ascii="宋体" w:hAnsi="宋体"/>
          <w:szCs w:val="21"/>
        </w:rPr>
        <w:t>不得向</w:t>
      </w:r>
      <w:r>
        <w:rPr>
          <w:rFonts w:hint="eastAsia" w:ascii="宋体" w:hAnsi="宋体"/>
          <w:szCs w:val="21"/>
        </w:rPr>
        <w:t>任何第三</w:t>
      </w:r>
      <w:r>
        <w:rPr>
          <w:rFonts w:ascii="宋体" w:hAnsi="宋体"/>
          <w:szCs w:val="21"/>
        </w:rPr>
        <w:t>方透露任何有关</w:t>
      </w:r>
      <w:r>
        <w:rPr>
          <w:rFonts w:hint="eastAsia" w:ascii="宋体" w:hAnsi="宋体"/>
          <w:szCs w:val="21"/>
        </w:rPr>
        <w:t>本</w:t>
      </w:r>
      <w:r>
        <w:rPr>
          <w:rFonts w:ascii="宋体" w:hAnsi="宋体"/>
          <w:szCs w:val="21"/>
        </w:rPr>
        <w:t>项目的内容，或公开任何项目</w:t>
      </w:r>
      <w:r>
        <w:rPr>
          <w:rFonts w:hint="eastAsia" w:ascii="宋体" w:hAnsi="宋体"/>
          <w:szCs w:val="21"/>
        </w:rPr>
        <w:t>阶段性</w:t>
      </w:r>
      <w:r>
        <w:rPr>
          <w:rFonts w:ascii="宋体" w:hAnsi="宋体"/>
          <w:szCs w:val="21"/>
        </w:rPr>
        <w:t>成果或最终成果。</w:t>
      </w:r>
      <w:r>
        <w:rPr>
          <w:rFonts w:hint="eastAsia" w:ascii="宋体" w:hAnsi="宋体"/>
          <w:szCs w:val="21"/>
        </w:rPr>
        <w:t>即使向履行本合同有关的人员提供前述</w:t>
      </w:r>
      <w:r>
        <w:rPr>
          <w:rFonts w:ascii="宋体" w:hAnsi="宋体"/>
          <w:szCs w:val="21"/>
        </w:rPr>
        <w:t>保密信息</w:t>
      </w:r>
      <w:r>
        <w:rPr>
          <w:rFonts w:hint="eastAsia" w:ascii="宋体" w:hAnsi="宋体"/>
          <w:szCs w:val="21"/>
        </w:rPr>
        <w:t>，也应限于履行合同的必需范围，且这些人员应接受至少与本条款同等严格的保密条款的约束。4.中标人实施项目的程序应符合国家安全、保密的有关规定和标准。</w:t>
      </w:r>
    </w:p>
    <w:p>
      <w:pPr>
        <w:widowControl/>
        <w:spacing w:line="360" w:lineRule="auto"/>
        <w:ind w:firstLine="420" w:firstLineChars="200"/>
        <w:rPr>
          <w:rFonts w:ascii="宋体" w:hAnsi="宋体"/>
          <w:szCs w:val="21"/>
        </w:rPr>
      </w:pPr>
      <w:r>
        <w:rPr>
          <w:rFonts w:hint="eastAsia" w:ascii="宋体" w:hAnsi="宋体"/>
          <w:szCs w:val="21"/>
        </w:rPr>
        <w:t>5.上述保密义务不适用以下情况：</w:t>
      </w:r>
    </w:p>
    <w:p>
      <w:pPr>
        <w:widowControl/>
        <w:spacing w:line="360" w:lineRule="auto"/>
        <w:ind w:firstLine="420" w:firstLineChars="200"/>
        <w:rPr>
          <w:rFonts w:ascii="宋体" w:hAnsi="宋体"/>
          <w:szCs w:val="21"/>
        </w:rPr>
      </w:pPr>
      <w:r>
        <w:rPr>
          <w:rFonts w:hint="eastAsia" w:ascii="宋体" w:hAnsi="宋体"/>
          <w:szCs w:val="21"/>
        </w:rPr>
        <w:t>（1）获取的信息已被合法公开；</w:t>
      </w:r>
    </w:p>
    <w:p>
      <w:pPr>
        <w:widowControl/>
        <w:spacing w:line="360" w:lineRule="auto"/>
        <w:ind w:firstLine="420" w:firstLineChars="200"/>
        <w:rPr>
          <w:rFonts w:ascii="宋体" w:hAnsi="宋体"/>
          <w:szCs w:val="21"/>
        </w:rPr>
      </w:pPr>
      <w:r>
        <w:rPr>
          <w:rFonts w:hint="eastAsia" w:ascii="宋体" w:hAnsi="宋体"/>
          <w:szCs w:val="21"/>
        </w:rPr>
        <w:t>（2）获得信息拥有方书面许可并在该许可范围内披露；</w:t>
      </w:r>
    </w:p>
    <w:p>
      <w:pPr>
        <w:widowControl/>
        <w:spacing w:line="360" w:lineRule="auto"/>
        <w:ind w:firstLine="420" w:firstLineChars="200"/>
        <w:rPr>
          <w:rFonts w:ascii="宋体" w:hAnsi="宋体"/>
          <w:szCs w:val="21"/>
        </w:rPr>
      </w:pPr>
      <w:r>
        <w:rPr>
          <w:rFonts w:hint="eastAsia" w:ascii="宋体" w:hAnsi="宋体"/>
          <w:szCs w:val="21"/>
        </w:rPr>
        <w:t>（3）国家法律、法规规定的情形。</w:t>
      </w:r>
    </w:p>
    <w:p>
      <w:pPr>
        <w:widowControl/>
        <w:spacing w:line="360" w:lineRule="auto"/>
        <w:ind w:firstLine="420" w:firstLineChars="200"/>
        <w:rPr>
          <w:rFonts w:ascii="宋体" w:hAnsi="宋体"/>
          <w:szCs w:val="21"/>
        </w:rPr>
      </w:pPr>
      <w:r>
        <w:rPr>
          <w:rFonts w:ascii="宋体" w:hAnsi="宋体"/>
          <w:szCs w:val="21"/>
        </w:rPr>
        <w:t>6</w:t>
      </w:r>
      <w:r>
        <w:rPr>
          <w:rFonts w:hint="eastAsia" w:ascii="宋体" w:hAnsi="宋体"/>
          <w:szCs w:val="21"/>
        </w:rPr>
        <w:t>.</w:t>
      </w:r>
      <w:r>
        <w:rPr>
          <w:rFonts w:hint="eastAsia" w:ascii="宋体" w:hAnsi="宋体" w:cs="宋体"/>
          <w:szCs w:val="21"/>
        </w:rPr>
        <w:t>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widowControl/>
        <w:spacing w:line="360" w:lineRule="auto"/>
        <w:ind w:firstLine="420" w:firstLineChars="200"/>
        <w:rPr>
          <w:rFonts w:ascii="宋体" w:hAnsi="宋体"/>
          <w:szCs w:val="21"/>
        </w:rPr>
      </w:pPr>
      <w:r>
        <w:rPr>
          <w:rFonts w:hint="eastAsia" w:ascii="宋体" w:hAnsi="宋体"/>
          <w:szCs w:val="21"/>
        </w:rPr>
        <w:t>7.无论合同或本合同其他条款是否有效，本保密条款始终约束双方。国家秘密的保密期限由国家有关部门确定，工作秘密的保密期限由采购人确定。</w:t>
      </w:r>
    </w:p>
    <w:p>
      <w:pPr>
        <w:widowControl/>
        <w:spacing w:line="360" w:lineRule="auto"/>
        <w:ind w:firstLine="422" w:firstLineChars="200"/>
        <w:rPr>
          <w:rFonts w:ascii="宋体" w:hAnsi="宋体"/>
          <w:b/>
          <w:szCs w:val="21"/>
        </w:rPr>
      </w:pPr>
      <w:r>
        <w:rPr>
          <w:b/>
          <w:szCs w:val="21"/>
        </w:rPr>
        <w:t>★</w:t>
      </w:r>
      <w:r>
        <w:rPr>
          <w:rFonts w:hint="eastAsia" w:ascii="宋体" w:hAnsi="宋体" w:cs="宋体"/>
          <w:b/>
          <w:kern w:val="0"/>
          <w:szCs w:val="21"/>
        </w:rPr>
        <w:t>（九）</w:t>
      </w:r>
      <w:r>
        <w:rPr>
          <w:rFonts w:hint="eastAsia" w:ascii="宋体" w:hAnsi="宋体"/>
          <w:b/>
          <w:szCs w:val="21"/>
        </w:rPr>
        <w:t>违约责任</w:t>
      </w:r>
    </w:p>
    <w:p>
      <w:pPr>
        <w:widowControl/>
        <w:spacing w:line="360" w:lineRule="auto"/>
        <w:ind w:firstLine="420" w:firstLineChars="200"/>
        <w:rPr>
          <w:rFonts w:ascii="宋体" w:hAnsi="宋体"/>
          <w:szCs w:val="21"/>
        </w:rPr>
      </w:pPr>
      <w:r>
        <w:rPr>
          <w:rFonts w:hint="eastAsia" w:ascii="宋体" w:hAnsi="宋体"/>
          <w:szCs w:val="21"/>
        </w:rPr>
        <w:t>1.如中标人未按照合同约定的时间</w:t>
      </w:r>
      <w:r>
        <w:rPr>
          <w:rFonts w:hint="eastAsia" w:hAnsi="宋体"/>
          <w:szCs w:val="21"/>
        </w:rPr>
        <w:t>完成本项目工作</w:t>
      </w:r>
      <w:r>
        <w:rPr>
          <w:rFonts w:hint="eastAsia" w:ascii="宋体" w:hAnsi="宋体"/>
          <w:szCs w:val="21"/>
        </w:rPr>
        <w:t>，每延迟一日，采购人有权自尚未支付的合同款项中扣除合同总价款1‰的逾期违约金。</w:t>
      </w:r>
    </w:p>
    <w:p>
      <w:pPr>
        <w:widowControl/>
        <w:spacing w:line="360" w:lineRule="auto"/>
        <w:ind w:firstLine="420" w:firstLineChars="200"/>
        <w:rPr>
          <w:rFonts w:ascii="宋体" w:hAnsi="宋体"/>
          <w:szCs w:val="21"/>
        </w:rPr>
      </w:pPr>
      <w:r>
        <w:rPr>
          <w:rFonts w:hint="eastAsia" w:ascii="宋体" w:hAnsi="宋体"/>
          <w:szCs w:val="21"/>
        </w:rPr>
        <w:t>2.</w:t>
      </w:r>
      <w:r>
        <w:rPr>
          <w:rFonts w:ascii="宋体" w:hAnsi="宋体"/>
          <w:szCs w:val="21"/>
        </w:rPr>
        <w:t>合同履行期</w:t>
      </w:r>
      <w:r>
        <w:rPr>
          <w:rFonts w:hint="eastAsia" w:ascii="宋体" w:hAnsi="宋体"/>
          <w:szCs w:val="21"/>
        </w:rPr>
        <w:t>间，发生下述情形时，采购人有权解除本合同，中标人除应退还采购人已支付的全部款项外, 还应在合同解除通知发出之日起10日内向采购人支付合同总价款20%的违约金：</w:t>
      </w:r>
    </w:p>
    <w:p>
      <w:pPr>
        <w:widowControl/>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中标人</w:t>
      </w:r>
      <w:r>
        <w:rPr>
          <w:rFonts w:ascii="宋体" w:hAnsi="宋体"/>
          <w:szCs w:val="21"/>
        </w:rPr>
        <w:t>未能按合同约定的日期(含协商延缓的日期)提交</w:t>
      </w:r>
      <w:r>
        <w:rPr>
          <w:rFonts w:hint="eastAsia" w:ascii="宋体" w:hAnsi="宋体"/>
          <w:szCs w:val="21"/>
        </w:rPr>
        <w:t>各阶段成果或最终成果</w:t>
      </w:r>
      <w:r>
        <w:rPr>
          <w:rFonts w:ascii="宋体" w:hAnsi="宋体"/>
          <w:szCs w:val="21"/>
        </w:rPr>
        <w:t>，延误时间超过</w:t>
      </w:r>
      <w:r>
        <w:rPr>
          <w:rFonts w:hint="eastAsia" w:ascii="宋体" w:hAnsi="宋体"/>
          <w:szCs w:val="21"/>
        </w:rPr>
        <w:t>15个工作日；</w:t>
      </w:r>
    </w:p>
    <w:p>
      <w:pPr>
        <w:widowControl/>
        <w:spacing w:line="360" w:lineRule="auto"/>
        <w:ind w:firstLine="420" w:firstLineChars="200"/>
        <w:rPr>
          <w:rFonts w:ascii="宋体" w:hAnsi="宋体"/>
          <w:szCs w:val="21"/>
        </w:rPr>
      </w:pPr>
      <w:r>
        <w:rPr>
          <w:rFonts w:hint="eastAsia" w:ascii="宋体" w:hAnsi="宋体"/>
          <w:szCs w:val="21"/>
        </w:rPr>
        <w:t>（2）</w:t>
      </w:r>
      <w:r>
        <w:rPr>
          <w:rFonts w:ascii="宋体" w:hAnsi="宋体"/>
          <w:szCs w:val="21"/>
        </w:rPr>
        <w:t>因</w:t>
      </w:r>
      <w:r>
        <w:rPr>
          <w:rFonts w:hint="eastAsia" w:ascii="宋体" w:hAnsi="宋体"/>
          <w:szCs w:val="21"/>
        </w:rPr>
        <w:t>中标人</w:t>
      </w:r>
      <w:r>
        <w:rPr>
          <w:rFonts w:ascii="宋体" w:hAnsi="宋体"/>
          <w:szCs w:val="21"/>
        </w:rPr>
        <w:t>工作的错误或遗漏造成成果质量损失，</w:t>
      </w:r>
      <w:r>
        <w:rPr>
          <w:rFonts w:hint="eastAsia" w:ascii="宋体" w:hAnsi="宋体"/>
          <w:szCs w:val="21"/>
          <w:lang w:val="zh-CN"/>
        </w:rPr>
        <w:t>工作成果质量低劣，不能满足合同要求</w:t>
      </w:r>
      <w:r>
        <w:rPr>
          <w:rFonts w:ascii="宋体" w:hAnsi="宋体"/>
          <w:szCs w:val="21"/>
        </w:rPr>
        <w:t>；</w:t>
      </w:r>
    </w:p>
    <w:p>
      <w:pPr>
        <w:widowControl/>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中标人虽如期提交</w:t>
      </w:r>
      <w:r>
        <w:rPr>
          <w:rFonts w:hint="eastAsia" w:ascii="宋体" w:hAnsi="宋体" w:cs="宋体"/>
          <w:szCs w:val="21"/>
        </w:rPr>
        <w:t>阶段性成果和最终成果</w:t>
      </w:r>
      <w:r>
        <w:rPr>
          <w:rFonts w:hint="eastAsia" w:ascii="宋体" w:hAnsi="宋体"/>
          <w:szCs w:val="21"/>
        </w:rPr>
        <w:t>，但连续二次未能通过专家评审会评审验收的；</w:t>
      </w:r>
    </w:p>
    <w:p>
      <w:pPr>
        <w:widowControl/>
        <w:spacing w:line="360" w:lineRule="auto"/>
        <w:ind w:firstLine="420" w:firstLineChars="200"/>
        <w:rPr>
          <w:rFonts w:ascii="宋体" w:hAnsi="宋体"/>
          <w:szCs w:val="21"/>
        </w:rPr>
      </w:pPr>
      <w:r>
        <w:rPr>
          <w:rFonts w:hint="eastAsia" w:ascii="宋体" w:hAnsi="宋体"/>
          <w:szCs w:val="21"/>
        </w:rPr>
        <w:t>（</w:t>
      </w:r>
      <w:r>
        <w:rPr>
          <w:rFonts w:ascii="宋体" w:hAnsi="宋体"/>
          <w:szCs w:val="21"/>
        </w:rPr>
        <w:t>4）未经</w:t>
      </w:r>
      <w:r>
        <w:rPr>
          <w:rFonts w:hint="eastAsia" w:ascii="宋体" w:hAnsi="宋体"/>
          <w:szCs w:val="21"/>
        </w:rPr>
        <w:t>采购人书面在先</w:t>
      </w:r>
      <w:r>
        <w:rPr>
          <w:rFonts w:ascii="宋体" w:hAnsi="宋体"/>
          <w:szCs w:val="21"/>
        </w:rPr>
        <w:t>同意，</w:t>
      </w:r>
      <w:r>
        <w:rPr>
          <w:rFonts w:hint="eastAsia" w:ascii="宋体" w:hAnsi="宋体"/>
          <w:szCs w:val="21"/>
        </w:rPr>
        <w:t>中标人</w:t>
      </w:r>
      <w:r>
        <w:rPr>
          <w:rFonts w:ascii="宋体" w:hAnsi="宋体"/>
          <w:szCs w:val="21"/>
        </w:rPr>
        <w:t>擅自</w:t>
      </w:r>
      <w:r>
        <w:rPr>
          <w:rFonts w:hint="eastAsia" w:ascii="宋体" w:hAnsi="宋体"/>
          <w:szCs w:val="21"/>
        </w:rPr>
        <w:t>将本合同项目与任何第三方合作，或将本合同标的全部或部分擅自转包或分包给任何第三方，且未按采购人的要求终止与第三方的协议的；</w:t>
      </w:r>
    </w:p>
    <w:p>
      <w:pPr>
        <w:widowControl/>
        <w:spacing w:line="360" w:lineRule="auto"/>
        <w:ind w:firstLine="420" w:firstLineChars="200"/>
        <w:rPr>
          <w:rFonts w:ascii="宋体" w:hAnsi="宋体"/>
          <w:szCs w:val="21"/>
        </w:rPr>
      </w:pPr>
      <w:r>
        <w:rPr>
          <w:rFonts w:hint="eastAsia" w:ascii="宋体" w:hAnsi="宋体"/>
          <w:szCs w:val="21"/>
        </w:rPr>
        <w:t>（5）项目负责人未承担合同项目实质性工作，或未经采购人书面在先同意，中标人擅自更换项目负责人的；</w:t>
      </w:r>
    </w:p>
    <w:p>
      <w:pPr>
        <w:widowControl/>
        <w:spacing w:line="360" w:lineRule="auto"/>
        <w:ind w:firstLine="420" w:firstLineChars="200"/>
        <w:rPr>
          <w:rFonts w:ascii="宋体" w:hAnsi="宋体"/>
          <w:szCs w:val="21"/>
        </w:rPr>
      </w:pPr>
      <w:r>
        <w:rPr>
          <w:rFonts w:hint="eastAsia" w:ascii="宋体" w:hAnsi="宋体"/>
          <w:szCs w:val="21"/>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中标人</w:t>
      </w:r>
      <w:r>
        <w:rPr>
          <w:rFonts w:ascii="宋体" w:hAnsi="宋体"/>
          <w:szCs w:val="21"/>
        </w:rPr>
        <w:t>明确表示或者以自己的行为表明不履行</w:t>
      </w:r>
      <w:r>
        <w:rPr>
          <w:rFonts w:hint="eastAsia" w:ascii="宋体" w:hAnsi="宋体"/>
          <w:szCs w:val="21"/>
        </w:rPr>
        <w:t>合同的。</w:t>
      </w:r>
    </w:p>
    <w:p>
      <w:pPr>
        <w:widowControl/>
        <w:spacing w:line="360" w:lineRule="auto"/>
        <w:ind w:firstLine="420" w:firstLineChars="200"/>
        <w:rPr>
          <w:rFonts w:ascii="宋体" w:hAnsi="宋体"/>
          <w:szCs w:val="21"/>
        </w:rPr>
      </w:pPr>
      <w:r>
        <w:rPr>
          <w:rFonts w:hint="eastAsia" w:ascii="宋体" w:hAnsi="宋体"/>
          <w:szCs w:val="21"/>
        </w:rPr>
        <w:t>3.除因</w:t>
      </w:r>
      <w:r>
        <w:rPr>
          <w:rFonts w:hint="eastAsia" w:ascii="宋体" w:hAnsi="宋体"/>
          <w:kern w:val="0"/>
          <w:szCs w:val="21"/>
        </w:rPr>
        <w:t>采购人付款审批影响支付进度的情况外，</w:t>
      </w:r>
      <w:r>
        <w:rPr>
          <w:rFonts w:hint="eastAsia" w:ascii="宋体" w:hAnsi="宋体"/>
          <w:szCs w:val="21"/>
        </w:rPr>
        <w:t>如采购人未按照本合同约定的时间支付服务费，中标人书面催告采购人并给予不少于30个工作日的履行期限后采购人仍未支付的，中标人有权自该期限届满之日起要求采购人支付应付而未付合同价款每日</w:t>
      </w:r>
      <w:r>
        <w:rPr>
          <w:rFonts w:ascii="宋体" w:hAnsi="宋体"/>
          <w:szCs w:val="21"/>
        </w:rPr>
        <w:t>1</w:t>
      </w:r>
      <w:r>
        <w:rPr>
          <w:rFonts w:hint="eastAsia" w:ascii="宋体" w:hAnsi="宋体"/>
          <w:szCs w:val="21"/>
        </w:rPr>
        <w:t>‰的逾期违约金。采购人无正当理由拒绝接受服务，到期明确表示拒绝服务款项的，采购人向中标人偿付本合同总价</w:t>
      </w:r>
      <w:r>
        <w:rPr>
          <w:rFonts w:ascii="宋体" w:hAnsi="宋体"/>
          <w:szCs w:val="21"/>
        </w:rPr>
        <w:t>20</w:t>
      </w:r>
      <w:r>
        <w:rPr>
          <w:rFonts w:hint="eastAsia" w:ascii="宋体" w:hAnsi="宋体"/>
          <w:szCs w:val="21"/>
        </w:rPr>
        <w:t>%的违约金。</w:t>
      </w:r>
    </w:p>
    <w:p>
      <w:pPr>
        <w:widowControl/>
        <w:spacing w:line="360" w:lineRule="auto"/>
        <w:ind w:firstLine="420" w:firstLineChars="200"/>
        <w:rPr>
          <w:rFonts w:ascii="宋体" w:hAnsi="宋体" w:cs="宋体"/>
          <w:kern w:val="0"/>
          <w:szCs w:val="21"/>
        </w:rPr>
      </w:pPr>
      <w:r>
        <w:rPr>
          <w:rFonts w:hint="eastAsia" w:ascii="宋体" w:hAnsi="宋体"/>
          <w:szCs w:val="21"/>
        </w:rPr>
        <w:t>4.上述违约责任各自独立且可累加。本合同所约定的违约金如低于因违约行为所造成的损失，违约方应补偿上述不足部分的损失。</w:t>
      </w:r>
    </w:p>
    <w:bookmarkEnd w:id="35"/>
    <w:p>
      <w:pPr>
        <w:pStyle w:val="17"/>
        <w:spacing w:before="0" w:beforeAutospacing="0" w:after="0" w:afterAutospacing="0" w:line="360" w:lineRule="auto"/>
        <w:ind w:firstLine="422" w:firstLineChars="200"/>
        <w:outlineLvl w:val="1"/>
        <w:rPr>
          <w:b/>
          <w:szCs w:val="21"/>
        </w:rPr>
      </w:pPr>
      <w:bookmarkStart w:id="40" w:name="_Toc76054650"/>
      <w:r>
        <w:rPr>
          <w:rFonts w:hint="eastAsia"/>
          <w:b/>
          <w:sz w:val="21"/>
          <w:szCs w:val="21"/>
        </w:rPr>
        <w:t>四、其他要求</w:t>
      </w:r>
      <w:bookmarkEnd w:id="40"/>
    </w:p>
    <w:p>
      <w:pPr>
        <w:pStyle w:val="17"/>
        <w:spacing w:before="0" w:beforeAutospacing="0" w:after="0" w:afterAutospacing="0" w:line="360" w:lineRule="auto"/>
        <w:ind w:firstLine="420" w:firstLineChars="200"/>
        <w:rPr>
          <w:sz w:val="21"/>
          <w:szCs w:val="21"/>
          <w:lang w:val="zh-CN"/>
        </w:rPr>
      </w:pPr>
      <w:r>
        <w:rPr>
          <w:rFonts w:hint="eastAsia"/>
          <w:sz w:val="21"/>
          <w:szCs w:val="21"/>
        </w:rPr>
        <w:t>1.</w:t>
      </w:r>
      <w:r>
        <w:rPr>
          <w:rFonts w:hint="eastAsia"/>
          <w:sz w:val="21"/>
          <w:szCs w:val="21"/>
          <w:lang w:val="zh-CN"/>
        </w:rPr>
        <w:t>若由于</w:t>
      </w:r>
      <w:r>
        <w:rPr>
          <w:rFonts w:hint="eastAsia"/>
          <w:sz w:val="21"/>
          <w:szCs w:val="21"/>
        </w:rPr>
        <w:t>中标人</w:t>
      </w:r>
      <w:r>
        <w:rPr>
          <w:rFonts w:hint="eastAsia"/>
          <w:sz w:val="21"/>
          <w:szCs w:val="21"/>
          <w:lang w:val="zh-CN"/>
        </w:rPr>
        <w:t>原因造成工作进度延迟，工作成果质量低劣，不能满足采购人工作需要和要求时，采购人有权解除合同，</w:t>
      </w:r>
      <w:r>
        <w:rPr>
          <w:rFonts w:hint="eastAsia"/>
          <w:sz w:val="21"/>
          <w:szCs w:val="21"/>
        </w:rPr>
        <w:t>中标人</w:t>
      </w:r>
      <w:r>
        <w:rPr>
          <w:rFonts w:hint="eastAsia"/>
          <w:sz w:val="21"/>
          <w:szCs w:val="21"/>
          <w:lang w:val="zh-CN"/>
        </w:rPr>
        <w:t>除应退还采购人已支付的全部款项外,还应在合同解除通知发出之日起10日内向采购人支付合同总价款20%的违约金。</w:t>
      </w:r>
      <w:r>
        <w:rPr>
          <w:rFonts w:hint="eastAsia"/>
          <w:sz w:val="21"/>
          <w:szCs w:val="21"/>
        </w:rPr>
        <w:t>中标人</w:t>
      </w:r>
      <w:r>
        <w:rPr>
          <w:rFonts w:hint="eastAsia"/>
          <w:sz w:val="21"/>
          <w:szCs w:val="21"/>
          <w:lang w:val="zh-CN"/>
        </w:rPr>
        <w:t>应同时将已完成的项目成果移交给采购人，并将全部有关资料退还采购人。</w:t>
      </w:r>
    </w:p>
    <w:p>
      <w:pPr>
        <w:pStyle w:val="17"/>
        <w:spacing w:before="0" w:beforeAutospacing="0" w:after="0" w:afterAutospacing="0" w:line="360" w:lineRule="auto"/>
        <w:ind w:firstLine="420" w:firstLineChars="200"/>
        <w:rPr>
          <w:sz w:val="21"/>
          <w:szCs w:val="21"/>
          <w:lang w:val="zh-CN"/>
        </w:rPr>
      </w:pPr>
      <w:r>
        <w:rPr>
          <w:rFonts w:hint="eastAsia"/>
          <w:sz w:val="21"/>
          <w:szCs w:val="21"/>
          <w:lang w:val="zh-CN"/>
        </w:rPr>
        <w:t>2.</w:t>
      </w:r>
      <w:r>
        <w:rPr>
          <w:rFonts w:hint="eastAsia"/>
          <w:sz w:val="21"/>
          <w:szCs w:val="21"/>
        </w:rPr>
        <w:t>中标人</w:t>
      </w:r>
      <w:r>
        <w:rPr>
          <w:rFonts w:hint="eastAsia"/>
          <w:sz w:val="21"/>
          <w:szCs w:val="21"/>
          <w:lang w:val="zh-CN"/>
        </w:rPr>
        <w:t>不得将项目非法分包或转包给任何单位和个人。否则，采购</w:t>
      </w:r>
      <w:r>
        <w:rPr>
          <w:rFonts w:hint="eastAsia"/>
          <w:sz w:val="21"/>
          <w:szCs w:val="21"/>
        </w:rPr>
        <w:t>人</w:t>
      </w:r>
      <w:r>
        <w:rPr>
          <w:rFonts w:hint="eastAsia"/>
          <w:sz w:val="21"/>
          <w:szCs w:val="21"/>
          <w:lang w:val="zh-CN"/>
        </w:rPr>
        <w:t>有权即刻终止合同，并要求</w:t>
      </w:r>
      <w:r>
        <w:rPr>
          <w:rFonts w:hint="eastAsia"/>
          <w:sz w:val="21"/>
          <w:szCs w:val="21"/>
        </w:rPr>
        <w:t>中标人</w:t>
      </w:r>
      <w:r>
        <w:rPr>
          <w:rFonts w:hint="eastAsia"/>
          <w:sz w:val="21"/>
          <w:szCs w:val="21"/>
          <w:lang w:val="zh-CN"/>
        </w:rPr>
        <w:t>赔偿相应损失。</w:t>
      </w:r>
    </w:p>
    <w:p>
      <w:pPr>
        <w:pStyle w:val="17"/>
        <w:spacing w:before="0" w:beforeAutospacing="0" w:after="0" w:afterAutospacing="0" w:line="360" w:lineRule="auto"/>
        <w:ind w:firstLine="420" w:firstLineChars="200"/>
        <w:jc w:val="both"/>
      </w:pPr>
      <w:r>
        <w:rPr>
          <w:rFonts w:hint="eastAsia"/>
          <w:sz w:val="21"/>
          <w:szCs w:val="21"/>
          <w:lang w:val="zh-CN"/>
        </w:rPr>
        <w:br w:type="page"/>
      </w:r>
    </w:p>
    <w:p>
      <w:pPr>
        <w:spacing w:line="360" w:lineRule="auto"/>
        <w:jc w:val="center"/>
        <w:outlineLvl w:val="0"/>
        <w:rPr>
          <w:b/>
          <w:bCs/>
          <w:sz w:val="32"/>
        </w:rPr>
      </w:pPr>
      <w:bookmarkStart w:id="41" w:name="_Toc76054651"/>
      <w:r>
        <w:rPr>
          <w:rFonts w:hint="eastAsia"/>
          <w:b/>
          <w:bCs/>
          <w:sz w:val="32"/>
        </w:rPr>
        <w:t>第七章 附件</w:t>
      </w:r>
      <w:bookmarkEnd w:id="41"/>
    </w:p>
    <w:p>
      <w:pPr>
        <w:pStyle w:val="5"/>
        <w:spacing w:before="120" w:after="120"/>
        <w:jc w:val="center"/>
        <w:rPr>
          <w:rFonts w:ascii="黑体" w:eastAsia="黑体"/>
          <w:sz w:val="28"/>
          <w:szCs w:val="28"/>
        </w:rPr>
      </w:pPr>
      <w:r>
        <w:rPr>
          <w:b w:val="0"/>
          <w:bCs w:val="0"/>
        </w:rPr>
        <w:br w:type="page"/>
      </w:r>
      <w:bookmarkStart w:id="42" w:name="_Toc32279"/>
      <w:bookmarkStart w:id="43" w:name="_Toc9110"/>
      <w:bookmarkStart w:id="44" w:name="_Toc480495924"/>
      <w:bookmarkStart w:id="45" w:name="_Toc76054652"/>
      <w:bookmarkStart w:id="46" w:name="_Toc1466764"/>
      <w:r>
        <w:rPr>
          <w:rFonts w:hint="eastAsia" w:ascii="黑体" w:eastAsia="黑体"/>
          <w:sz w:val="28"/>
          <w:szCs w:val="28"/>
        </w:rPr>
        <w:t>开标一览表</w:t>
      </w:r>
      <w:bookmarkEnd w:id="42"/>
      <w:bookmarkEnd w:id="43"/>
      <w:bookmarkEnd w:id="44"/>
      <w:bookmarkEnd w:id="45"/>
      <w:bookmarkEnd w:id="46"/>
    </w:p>
    <w:p>
      <w:pPr>
        <w:jc w:val="right"/>
        <w:rPr>
          <w:rFonts w:ascii="宋体" w:hAnsi="宋体"/>
          <w:bCs/>
          <w:snapToGrid w:val="0"/>
          <w:kern w:val="0"/>
        </w:rPr>
      </w:pPr>
      <w:r>
        <w:rPr>
          <w:rFonts w:hint="eastAsia" w:ascii="宋体" w:hAnsi="宋体"/>
          <w:bCs/>
          <w:snapToGrid w:val="0"/>
          <w:kern w:val="0"/>
        </w:rPr>
        <w:t>单位：人民币元</w:t>
      </w:r>
    </w:p>
    <w:tbl>
      <w:tblPr>
        <w:tblStyle w:val="20"/>
        <w:tblW w:w="7617" w:type="dxa"/>
        <w:tblInd w:w="25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2425"/>
        <w:gridCol w:w="2268"/>
        <w:gridCol w:w="18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1119"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项目编号</w:t>
            </w:r>
          </w:p>
        </w:tc>
        <w:tc>
          <w:tcPr>
            <w:tcW w:w="2425"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项目名称</w:t>
            </w:r>
          </w:p>
        </w:tc>
        <w:tc>
          <w:tcPr>
            <w:tcW w:w="2268"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投标报价</w:t>
            </w:r>
          </w:p>
        </w:tc>
        <w:tc>
          <w:tcPr>
            <w:tcW w:w="1805"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1119" w:type="dxa"/>
            <w:tcBorders>
              <w:top w:val="single" w:color="auto" w:sz="4" w:space="0"/>
            </w:tcBorders>
            <w:vAlign w:val="center"/>
          </w:tcPr>
          <w:p>
            <w:pPr>
              <w:jc w:val="center"/>
              <w:rPr>
                <w:rFonts w:ascii="宋体" w:hAnsi="宋体"/>
                <w:snapToGrid w:val="0"/>
                <w:kern w:val="0"/>
                <w:u w:val="single"/>
              </w:rPr>
            </w:pPr>
            <w:r>
              <w:rPr>
                <w:szCs w:val="21"/>
                <w:highlight w:val="yellow"/>
              </w:rPr>
              <w:t>QH20210</w:t>
            </w:r>
            <w:r>
              <w:rPr>
                <w:rFonts w:hint="eastAsia"/>
                <w:szCs w:val="21"/>
              </w:rPr>
              <w:t>58</w:t>
            </w:r>
          </w:p>
        </w:tc>
        <w:tc>
          <w:tcPr>
            <w:tcW w:w="2425" w:type="dxa"/>
            <w:tcBorders>
              <w:top w:val="single" w:color="auto" w:sz="4" w:space="0"/>
            </w:tcBorders>
            <w:vAlign w:val="center"/>
          </w:tcPr>
          <w:p>
            <w:pPr>
              <w:spacing w:line="360" w:lineRule="auto"/>
              <w:jc w:val="center"/>
              <w:rPr>
                <w:rFonts w:ascii="宋体" w:hAnsi="宋体"/>
                <w:snapToGrid w:val="0"/>
                <w:kern w:val="0"/>
              </w:rPr>
            </w:pPr>
            <w:r>
              <w:rPr>
                <w:rFonts w:hint="eastAsia" w:ascii="宋体" w:hAnsi="宋体"/>
                <w:snapToGrid w:val="0"/>
                <w:kern w:val="0"/>
              </w:rPr>
              <w:t>深港合作战略下的前海城市综合运营模式研究</w:t>
            </w:r>
          </w:p>
          <w:p>
            <w:pPr>
              <w:jc w:val="center"/>
              <w:rPr>
                <w:rFonts w:ascii="宋体" w:hAnsi="宋体"/>
                <w:snapToGrid w:val="0"/>
                <w:kern w:val="0"/>
                <w:u w:val="single"/>
              </w:rPr>
            </w:pPr>
          </w:p>
        </w:tc>
        <w:tc>
          <w:tcPr>
            <w:tcW w:w="2268" w:type="dxa"/>
            <w:tcBorders>
              <w:top w:val="single" w:color="auto" w:sz="4" w:space="0"/>
            </w:tcBorders>
            <w:vAlign w:val="center"/>
          </w:tcPr>
          <w:p>
            <w:pPr>
              <w:rPr>
                <w:rFonts w:ascii="宋体" w:hAnsi="宋体"/>
                <w:snapToGrid w:val="0"/>
                <w:kern w:val="0"/>
              </w:rPr>
            </w:pPr>
            <w:r>
              <w:rPr>
                <w:rFonts w:hint="eastAsia" w:ascii="宋体" w:hAnsi="宋体"/>
                <w:snapToGrid w:val="0"/>
                <w:kern w:val="0"/>
              </w:rPr>
              <w:t>大写：</w:t>
            </w:r>
          </w:p>
          <w:p>
            <w:pPr>
              <w:jc w:val="left"/>
              <w:rPr>
                <w:rFonts w:ascii="宋体" w:hAnsi="宋体"/>
                <w:snapToGrid w:val="0"/>
                <w:kern w:val="0"/>
              </w:rPr>
            </w:pPr>
            <w:r>
              <w:rPr>
                <w:rFonts w:hint="eastAsia" w:ascii="宋体" w:hAnsi="宋体"/>
                <w:snapToGrid w:val="0"/>
                <w:kern w:val="0"/>
              </w:rPr>
              <w:t>小写：</w:t>
            </w:r>
          </w:p>
        </w:tc>
        <w:tc>
          <w:tcPr>
            <w:tcW w:w="1805" w:type="dxa"/>
            <w:tcBorders>
              <w:top w:val="single" w:color="auto" w:sz="4" w:space="0"/>
            </w:tcBorders>
            <w:vAlign w:val="center"/>
          </w:tcPr>
          <w:p>
            <w:pPr>
              <w:jc w:val="center"/>
              <w:rPr>
                <w:rFonts w:ascii="宋体" w:hAnsi="宋体"/>
                <w:snapToGrid w:val="0"/>
                <w:kern w:val="0"/>
              </w:rPr>
            </w:pPr>
          </w:p>
        </w:tc>
      </w:tr>
    </w:tbl>
    <w:p>
      <w:pPr>
        <w:rPr>
          <w:rFonts w:ascii="宋体" w:hAnsi="宋体"/>
          <w:snapToGrid w:val="0"/>
          <w:kern w:val="0"/>
        </w:rPr>
      </w:pPr>
      <w:r>
        <w:rPr>
          <w:rFonts w:hint="eastAsia" w:ascii="宋体" w:hAnsi="宋体"/>
          <w:snapToGrid w:val="0"/>
          <w:kern w:val="0"/>
        </w:rPr>
        <w:t>注：1.价格应按“招标文件”中规定的货币单位填写。</w:t>
      </w:r>
    </w:p>
    <w:p>
      <w:pPr>
        <w:ind w:firstLine="420"/>
        <w:rPr>
          <w:rFonts w:ascii="宋体" w:hAnsi="宋体"/>
        </w:rPr>
      </w:pPr>
      <w:r>
        <w:rPr>
          <w:rFonts w:hint="eastAsia" w:ascii="宋体" w:hAnsi="宋体"/>
          <w:snapToGrid w:val="0"/>
          <w:kern w:val="0"/>
        </w:rPr>
        <w:t>2.投标人如果需要对报价或其它内容加以说明，可在备注栏填写。</w:t>
      </w:r>
    </w:p>
    <w:p>
      <w:pPr>
        <w:ind w:firstLine="420"/>
        <w:rPr>
          <w:rFonts w:ascii="宋体" w:hAnsi="宋体"/>
          <w:b/>
          <w:bCs/>
        </w:rPr>
      </w:pPr>
      <w:r>
        <w:rPr>
          <w:rFonts w:hint="eastAsia" w:ascii="宋体" w:hAnsi="宋体"/>
          <w:b/>
          <w:bCs/>
        </w:rPr>
        <w:t>3.《开标一览表》作为开标时唱标的依据，除按格式要求放入投标文件中外，还应另行单独密封提交一份，在封口密封处加盖公章（或密封封口处粘贴封条并加盖投标单位公章），并在信封上标明“开标一览表”字样。</w:t>
      </w:r>
    </w:p>
    <w:p>
      <w:pPr>
        <w:ind w:firstLine="420"/>
        <w:rPr>
          <w:rFonts w:ascii="宋体" w:hAnsi="宋体"/>
          <w:b/>
          <w:bCs/>
        </w:rPr>
      </w:pPr>
      <w:r>
        <w:rPr>
          <w:rFonts w:hint="eastAsia" w:ascii="宋体" w:hAnsi="宋体"/>
          <w:b/>
          <w:bCs/>
        </w:rPr>
        <w:t>4.《开标一览表》未按招标文件规定签字、盖章、密封的，将导致废标。</w:t>
      </w:r>
    </w:p>
    <w:p>
      <w:pPr>
        <w:ind w:firstLine="420"/>
        <w:rPr>
          <w:rFonts w:ascii="宋体" w:hAnsi="宋体"/>
        </w:rPr>
      </w:pPr>
      <w:r>
        <w:rPr>
          <w:rFonts w:hint="eastAsia" w:ascii="宋体" w:hAnsi="宋体"/>
        </w:rPr>
        <w:t>5.若开标一览表中大写金额和小写金额不一致的，以大写金额为准。</w:t>
      </w:r>
    </w:p>
    <w:p>
      <w:pPr>
        <w:ind w:firstLine="420"/>
        <w:rPr>
          <w:rFonts w:ascii="宋体" w:hAnsi="宋体"/>
        </w:rPr>
      </w:pPr>
    </w:p>
    <w:p>
      <w:pPr>
        <w:ind w:firstLine="420"/>
        <w:jc w:val="left"/>
        <w:rPr>
          <w:rFonts w:ascii="宋体" w:hAnsi="宋体"/>
        </w:rPr>
      </w:pPr>
    </w:p>
    <w:p>
      <w:pPr>
        <w:ind w:firstLine="420"/>
        <w:jc w:val="left"/>
        <w:rPr>
          <w:rFonts w:ascii="宋体" w:hAnsi="宋体"/>
        </w:rPr>
      </w:pPr>
    </w:p>
    <w:p>
      <w:pPr>
        <w:ind w:firstLine="3150" w:firstLineChars="1500"/>
        <w:jc w:val="left"/>
        <w:rPr>
          <w:rFonts w:ascii="宋体" w:hAnsi="宋体"/>
        </w:rPr>
      </w:pPr>
      <w:r>
        <w:rPr>
          <w:rFonts w:hint="eastAsia" w:ascii="宋体" w:hAnsi="宋体"/>
        </w:rPr>
        <w:t>法定代表人或其授权委托人（</w:t>
      </w:r>
      <w:r>
        <w:rPr>
          <w:rFonts w:hint="eastAsia" w:ascii="宋体" w:hAnsi="宋体"/>
          <w:b/>
        </w:rPr>
        <w:t>签名</w:t>
      </w:r>
      <w:r>
        <w:rPr>
          <w:rFonts w:hint="eastAsia" w:ascii="宋体" w:hAnsi="宋体"/>
        </w:rPr>
        <w:t>）：</w:t>
      </w:r>
    </w:p>
    <w:p>
      <w:pPr>
        <w:jc w:val="left"/>
        <w:rPr>
          <w:rFonts w:ascii="宋体" w:hAnsi="宋体"/>
        </w:rPr>
      </w:pPr>
    </w:p>
    <w:p>
      <w:pPr>
        <w:ind w:firstLine="3150" w:firstLineChars="1500"/>
        <w:jc w:val="left"/>
        <w:rPr>
          <w:rFonts w:ascii="宋体" w:hAnsi="宋体"/>
        </w:rPr>
      </w:pPr>
      <w:r>
        <w:rPr>
          <w:rFonts w:hint="eastAsia" w:ascii="宋体" w:hAnsi="宋体"/>
        </w:rPr>
        <w:t>投标单位（</w:t>
      </w:r>
      <w:r>
        <w:rPr>
          <w:rFonts w:hint="eastAsia" w:ascii="宋体" w:hAnsi="宋体"/>
          <w:b/>
        </w:rPr>
        <w:t>盖公章</w:t>
      </w:r>
      <w:r>
        <w:rPr>
          <w:rFonts w:hint="eastAsia" w:ascii="宋体" w:hAnsi="宋体"/>
        </w:rPr>
        <w:t>）：</w:t>
      </w:r>
    </w:p>
    <w:p>
      <w:pPr>
        <w:jc w:val="left"/>
        <w:rPr>
          <w:rFonts w:ascii="宋体" w:hAnsi="宋体"/>
        </w:rPr>
      </w:pPr>
    </w:p>
    <w:p>
      <w:pPr>
        <w:jc w:val="right"/>
        <w:rPr>
          <w:rFonts w:ascii="宋体" w:hAnsi="宋体"/>
        </w:rPr>
      </w:pPr>
      <w:r>
        <w:rPr>
          <w:rFonts w:hint="eastAsia" w:ascii="宋体" w:hAnsi="宋体"/>
        </w:rPr>
        <w:t>日期：    年  月  日</w:t>
      </w:r>
    </w:p>
    <w:p>
      <w:pPr>
        <w:jc w:val="right"/>
        <w:rPr>
          <w:rFonts w:ascii="宋体" w:hAnsi="宋体"/>
        </w:rPr>
      </w:pPr>
      <w:r>
        <w:rPr>
          <w:rFonts w:ascii="宋体" w:hAnsi="宋体"/>
        </w:rPr>
        <w:br w:type="page"/>
      </w:r>
    </w:p>
    <w:p>
      <w:pPr>
        <w:ind w:right="420"/>
        <w:jc w:val="right"/>
        <w:rPr>
          <w:rFonts w:ascii="宋体" w:hAnsi="宋体"/>
        </w:rPr>
      </w:pPr>
    </w:p>
    <w:p>
      <w:pPr>
        <w:jc w:val="center"/>
        <w:outlineLvl w:val="1"/>
        <w:rPr>
          <w:b/>
          <w:bCs/>
          <w:sz w:val="30"/>
        </w:rPr>
      </w:pPr>
      <w:bookmarkStart w:id="47" w:name="_Toc76054653"/>
      <w:r>
        <w:rPr>
          <w:rFonts w:hint="eastAsia"/>
          <w:b/>
          <w:bCs/>
          <w:sz w:val="30"/>
        </w:rPr>
        <w:t>一、投标人资格证明文件</w:t>
      </w:r>
      <w:bookmarkEnd w:id="47"/>
    </w:p>
    <w:p>
      <w:pPr>
        <w:widowControl/>
        <w:spacing w:line="360" w:lineRule="auto"/>
        <w:jc w:val="left"/>
        <w:rPr>
          <w:b/>
          <w:bCs/>
          <w:sz w:val="24"/>
        </w:rPr>
      </w:pPr>
      <w:r>
        <w:rPr>
          <w:rFonts w:hint="eastAsia"/>
          <w:b/>
          <w:bCs/>
          <w:sz w:val="24"/>
        </w:rPr>
        <w:t>1.《营业执照》或法人证书复印件（加盖投标人公章）；</w:t>
      </w:r>
    </w:p>
    <w:p>
      <w:pPr>
        <w:widowControl/>
        <w:spacing w:line="360" w:lineRule="auto"/>
        <w:jc w:val="left"/>
        <w:rPr>
          <w:b/>
          <w:bCs/>
          <w:sz w:val="24"/>
        </w:rPr>
      </w:pPr>
    </w:p>
    <w:p>
      <w:pPr>
        <w:widowControl/>
        <w:jc w:val="left"/>
        <w:rPr>
          <w:b/>
          <w:bCs/>
          <w:sz w:val="24"/>
        </w:rPr>
      </w:pPr>
      <w:r>
        <w:rPr>
          <w:b/>
          <w:bCs/>
          <w:sz w:val="24"/>
        </w:rPr>
        <w:br w:type="page"/>
      </w:r>
      <w:r>
        <w:rPr>
          <w:rFonts w:hint="eastAsia"/>
          <w:b/>
          <w:bCs/>
          <w:sz w:val="24"/>
        </w:rPr>
        <w:t>2.法定代表人证明书原件/负责人及身份证复印件（加盖投标人公章）；</w:t>
      </w:r>
    </w:p>
    <w:p>
      <w:pPr>
        <w:spacing w:line="480" w:lineRule="exact"/>
        <w:jc w:val="center"/>
        <w:rPr>
          <w:rFonts w:ascii="黑体" w:eastAsia="黑体"/>
          <w:sz w:val="28"/>
          <w:szCs w:val="28"/>
        </w:rPr>
      </w:pPr>
    </w:p>
    <w:p>
      <w:pPr>
        <w:spacing w:line="480" w:lineRule="exact"/>
        <w:jc w:val="center"/>
        <w:rPr>
          <w:rFonts w:ascii="宋体" w:hAnsi="宋体" w:cs="Arial"/>
          <w:b/>
          <w:bCs/>
          <w:sz w:val="24"/>
        </w:rPr>
      </w:pPr>
      <w:r>
        <w:rPr>
          <w:rFonts w:hint="eastAsia" w:ascii="宋体" w:hAnsi="宋体" w:cs="Arial"/>
          <w:b/>
          <w:bCs/>
          <w:sz w:val="24"/>
        </w:rPr>
        <w:t>法定代表人/负责人资格证明书</w:t>
      </w:r>
    </w:p>
    <w:p>
      <w:pPr>
        <w:spacing w:line="480" w:lineRule="exact"/>
        <w:jc w:val="center"/>
        <w:rPr>
          <w:rFonts w:ascii="黑体" w:eastAsia="黑体"/>
          <w:sz w:val="28"/>
          <w:szCs w:val="28"/>
        </w:rPr>
      </w:pPr>
    </w:p>
    <w:p>
      <w:pPr>
        <w:spacing w:line="480" w:lineRule="exact"/>
        <w:jc w:val="center"/>
        <w:rPr>
          <w:rFonts w:ascii="宋体"/>
          <w:sz w:val="24"/>
        </w:rPr>
      </w:pPr>
    </w:p>
    <w:p>
      <w:pPr>
        <w:snapToGrid w:val="0"/>
        <w:rPr>
          <w:rFonts w:ascii="宋体" w:hAnsi="宋体" w:cs="Arial"/>
          <w:bCs/>
          <w:szCs w:val="21"/>
        </w:rPr>
      </w:pPr>
      <w:r>
        <w:rPr>
          <w:rFonts w:hint="eastAsia" w:ascii="宋体" w:hAnsi="宋体" w:cs="Arial"/>
          <w:bCs/>
          <w:szCs w:val="21"/>
        </w:rPr>
        <w:t>单位名称：</w:t>
      </w:r>
    </w:p>
    <w:p>
      <w:pPr>
        <w:snapToGrid w:val="0"/>
        <w:rPr>
          <w:rFonts w:ascii="宋体" w:hAnsi="宋体" w:cs="Arial"/>
          <w:bCs/>
          <w:szCs w:val="21"/>
        </w:rPr>
      </w:pPr>
      <w:r>
        <w:rPr>
          <w:rFonts w:hint="eastAsia" w:ascii="宋体" w:hAnsi="宋体" w:cs="Arial"/>
          <w:bCs/>
          <w:szCs w:val="21"/>
        </w:rPr>
        <w:t>地    址：</w:t>
      </w:r>
    </w:p>
    <w:p>
      <w:pPr>
        <w:snapToGrid w:val="0"/>
        <w:rPr>
          <w:rFonts w:ascii="宋体" w:hAnsi="宋体" w:cs="Arial"/>
          <w:bCs/>
          <w:szCs w:val="21"/>
        </w:rPr>
      </w:pPr>
      <w:r>
        <w:rPr>
          <w:rFonts w:hint="eastAsia" w:ascii="宋体" w:hAnsi="宋体" w:cs="Arial"/>
          <w:bCs/>
          <w:szCs w:val="21"/>
        </w:rPr>
        <w:t xml:space="preserve">姓名： </w:t>
      </w:r>
      <w:r>
        <w:rPr>
          <w:rFonts w:ascii="宋体" w:hAnsi="宋体" w:cs="Arial"/>
          <w:bCs/>
          <w:szCs w:val="21"/>
        </w:rPr>
        <w:t xml:space="preserve">    </w:t>
      </w:r>
      <w:r>
        <w:rPr>
          <w:rFonts w:hint="eastAsia" w:ascii="宋体" w:hAnsi="宋体" w:cs="Arial"/>
          <w:bCs/>
          <w:szCs w:val="21"/>
        </w:rPr>
        <w:t xml:space="preserve"> 性别： </w:t>
      </w:r>
      <w:r>
        <w:rPr>
          <w:rFonts w:ascii="宋体" w:hAnsi="宋体" w:cs="Arial"/>
          <w:bCs/>
          <w:szCs w:val="21"/>
        </w:rPr>
        <w:t xml:space="preserve">    </w:t>
      </w:r>
      <w:r>
        <w:rPr>
          <w:rFonts w:hint="eastAsia" w:ascii="宋体" w:hAnsi="宋体" w:cs="Arial"/>
          <w:bCs/>
          <w:szCs w:val="21"/>
        </w:rPr>
        <w:t xml:space="preserve"> </w:t>
      </w:r>
      <w:r>
        <w:rPr>
          <w:rFonts w:ascii="宋体" w:hAnsi="宋体" w:cs="Arial"/>
          <w:bCs/>
          <w:szCs w:val="21"/>
        </w:rPr>
        <w:t xml:space="preserve"> </w:t>
      </w:r>
      <w:r>
        <w:rPr>
          <w:rFonts w:hint="eastAsia" w:ascii="宋体" w:hAnsi="宋体" w:cs="Arial"/>
          <w:bCs/>
          <w:szCs w:val="21"/>
        </w:rPr>
        <w:t xml:space="preserve">年龄： </w:t>
      </w:r>
      <w:r>
        <w:rPr>
          <w:rFonts w:ascii="宋体" w:hAnsi="宋体" w:cs="Arial"/>
          <w:bCs/>
          <w:szCs w:val="21"/>
        </w:rPr>
        <w:t xml:space="preserve">      </w:t>
      </w:r>
      <w:r>
        <w:rPr>
          <w:rFonts w:hint="eastAsia" w:ascii="宋体" w:hAnsi="宋体" w:cs="Arial"/>
          <w:bCs/>
          <w:szCs w:val="21"/>
        </w:rPr>
        <w:t>职务：</w:t>
      </w:r>
    </w:p>
    <w:p>
      <w:pPr>
        <w:snapToGrid w:val="0"/>
        <w:ind w:firstLine="945" w:firstLineChars="450"/>
        <w:rPr>
          <w:rFonts w:ascii="宋体" w:hAnsi="宋体" w:cs="Arial"/>
          <w:bCs/>
          <w:szCs w:val="21"/>
          <w:u w:val="single"/>
        </w:rPr>
      </w:pPr>
    </w:p>
    <w:p>
      <w:pPr>
        <w:snapToGrid w:val="0"/>
        <w:ind w:firstLine="420" w:firstLineChars="200"/>
        <w:rPr>
          <w:rFonts w:ascii="宋体" w:hAnsi="宋体" w:cs="Arial"/>
          <w:bCs/>
          <w:szCs w:val="21"/>
        </w:rPr>
      </w:pPr>
      <w:r>
        <w:rPr>
          <w:rFonts w:hint="eastAsia" w:ascii="宋体" w:hAnsi="宋体" w:cs="Arial"/>
          <w:bCs/>
          <w:szCs w:val="21"/>
        </w:rPr>
        <w:t>系  的法定代表人/负责人。为</w:t>
      </w:r>
      <w:r>
        <w:rPr>
          <w:rFonts w:hint="eastAsia" w:ascii="宋体" w:hAnsi="宋体" w:cs="Arial"/>
          <w:bCs/>
          <w:szCs w:val="21"/>
          <w:u w:val="single"/>
        </w:rPr>
        <w:t xml:space="preserve">   </w:t>
      </w:r>
      <w:r>
        <w:rPr>
          <w:rFonts w:hint="eastAsia" w:ascii="宋体" w:hAnsi="宋体" w:cs="Arial"/>
          <w:bCs/>
          <w:szCs w:val="21"/>
        </w:rPr>
        <w:t>项目，签署的投标文件、进行合同投标、签署合同和处理与之有关的一切事务。</w:t>
      </w:r>
    </w:p>
    <w:p>
      <w:pPr>
        <w:snapToGrid w:val="0"/>
        <w:rPr>
          <w:rFonts w:ascii="宋体" w:hAnsi="宋体" w:cs="Arial"/>
          <w:bCs/>
          <w:szCs w:val="21"/>
        </w:rPr>
      </w:pPr>
      <w:r>
        <w:rPr>
          <w:rFonts w:hint="eastAsia" w:ascii="宋体" w:hAnsi="宋体" w:cs="Arial"/>
          <w:bCs/>
          <w:szCs w:val="21"/>
        </w:rPr>
        <w:t>特此证明</w:t>
      </w:r>
    </w:p>
    <w:p>
      <w:pPr>
        <w:snapToGrid w:val="0"/>
        <w:rPr>
          <w:szCs w:val="21"/>
        </w:rPr>
      </w:pPr>
    </w:p>
    <w:p>
      <w:pPr>
        <w:ind w:firstLine="3150" w:firstLineChars="1500"/>
        <w:jc w:val="left"/>
        <w:rPr>
          <w:szCs w:val="21"/>
        </w:rPr>
      </w:pPr>
      <w:r>
        <w:rPr>
          <w:rFonts w:hint="eastAsia"/>
          <w:szCs w:val="21"/>
        </w:rPr>
        <w:t>法定代表人/负责人（</w:t>
      </w:r>
      <w:r>
        <w:rPr>
          <w:rFonts w:hint="eastAsia"/>
          <w:b/>
          <w:szCs w:val="21"/>
        </w:rPr>
        <w:t>签名</w:t>
      </w:r>
      <w:r>
        <w:rPr>
          <w:rFonts w:hint="eastAsia"/>
          <w:szCs w:val="21"/>
        </w:rPr>
        <w:t>）：</w:t>
      </w:r>
    </w:p>
    <w:p>
      <w:pPr>
        <w:jc w:val="left"/>
        <w:rPr>
          <w:szCs w:val="21"/>
        </w:rPr>
      </w:pPr>
    </w:p>
    <w:p>
      <w:pPr>
        <w:ind w:firstLine="3150" w:firstLineChars="1500"/>
        <w:jc w:val="left"/>
        <w:rPr>
          <w:szCs w:val="21"/>
        </w:rPr>
      </w:pPr>
      <w:r>
        <w:rPr>
          <w:rFonts w:hint="eastAsia"/>
          <w:szCs w:val="21"/>
        </w:rPr>
        <w:t>投标单位（</w:t>
      </w:r>
      <w:r>
        <w:rPr>
          <w:rFonts w:hint="eastAsia"/>
          <w:b/>
          <w:szCs w:val="21"/>
        </w:rPr>
        <w:t>盖公章</w:t>
      </w:r>
      <w:r>
        <w:rPr>
          <w:rFonts w:hint="eastAsia"/>
          <w:szCs w:val="21"/>
        </w:rPr>
        <w:t>）：</w:t>
      </w:r>
    </w:p>
    <w:p>
      <w:pPr>
        <w:jc w:val="left"/>
        <w:rPr>
          <w:szCs w:val="21"/>
        </w:rPr>
      </w:pPr>
    </w:p>
    <w:p>
      <w:pPr>
        <w:jc w:val="right"/>
        <w:rPr>
          <w:szCs w:val="21"/>
        </w:rPr>
      </w:pPr>
      <w:r>
        <w:rPr>
          <w:rFonts w:hint="eastAsia"/>
          <w:szCs w:val="21"/>
        </w:rPr>
        <w:t>日期：年月日</w:t>
      </w:r>
    </w:p>
    <w:p>
      <w:pPr>
        <w:snapToGrid w:val="0"/>
        <w:ind w:firstLine="3570" w:firstLineChars="1700"/>
        <w:rPr>
          <w:rFonts w:ascii="宋体" w:hAnsi="宋体" w:cs="Arial"/>
          <w:bCs/>
          <w:szCs w:val="21"/>
        </w:rPr>
      </w:pPr>
    </w:p>
    <w:p>
      <w:pPr>
        <w:snapToGrid w:val="0"/>
        <w:ind w:firstLine="3570" w:firstLineChars="1700"/>
        <w:rPr>
          <w:rFonts w:ascii="宋体" w:hAnsi="宋体" w:cs="Arial"/>
          <w:bCs/>
          <w:szCs w:val="21"/>
        </w:rPr>
      </w:pPr>
    </w:p>
    <w:p>
      <w:pPr>
        <w:snapToGrid w:val="0"/>
        <w:ind w:firstLine="3570" w:firstLineChars="1700"/>
        <w:rPr>
          <w:rFonts w:ascii="宋体" w:hAnsi="宋体" w:cs="Arial"/>
          <w:bCs/>
          <w:szCs w:val="21"/>
        </w:rPr>
      </w:pPr>
    </w:p>
    <w:p>
      <w:pPr>
        <w:snapToGrid w:val="0"/>
        <w:ind w:firstLine="3570" w:firstLineChars="1700"/>
        <w:rPr>
          <w:rFonts w:ascii="宋体" w:hAnsi="宋体" w:cs="Arial"/>
          <w:bCs/>
          <w:szCs w:val="21"/>
        </w:rPr>
      </w:pPr>
    </w:p>
    <w:p>
      <w:pPr>
        <w:snapToGrid w:val="0"/>
        <w:ind w:firstLine="3570" w:firstLineChars="1700"/>
        <w:rPr>
          <w:rFonts w:ascii="宋体" w:hAnsi="宋体" w:cs="Arial"/>
          <w:bCs/>
          <w:szCs w:val="21"/>
        </w:rPr>
      </w:pPr>
    </w:p>
    <w:p>
      <w:pPr>
        <w:snapToGrid w:val="0"/>
        <w:ind w:left="735" w:hanging="735" w:hangingChars="350"/>
        <w:rPr>
          <w:rFonts w:ascii="宋体" w:hAnsi="宋体" w:cs="Arial"/>
          <w:bCs/>
          <w:szCs w:val="21"/>
        </w:rPr>
      </w:pPr>
      <w:r>
        <w:rPr>
          <w:rFonts w:hint="eastAsia" w:ascii="宋体" w:hAnsi="宋体" w:cs="Arial"/>
          <w:bCs/>
          <w:szCs w:val="21"/>
        </w:rPr>
        <w:t>说明：</w:t>
      </w:r>
    </w:p>
    <w:p>
      <w:pPr>
        <w:snapToGrid w:val="0"/>
        <w:ind w:firstLine="420" w:firstLineChars="200"/>
        <w:rPr>
          <w:rFonts w:ascii="宋体" w:hAnsi="宋体" w:cs="Arial"/>
          <w:bCs/>
          <w:szCs w:val="21"/>
        </w:rPr>
      </w:pPr>
      <w:r>
        <w:rPr>
          <w:rFonts w:hint="eastAsia" w:ascii="宋体" w:hAnsi="宋体" w:cs="Arial"/>
          <w:bCs/>
          <w:szCs w:val="21"/>
        </w:rPr>
        <w:t>1.本证明书要求投标人提供</w:t>
      </w:r>
      <w:r>
        <w:rPr>
          <w:rFonts w:hint="eastAsia" w:ascii="宋体" w:hAnsi="宋体" w:cs="Arial"/>
          <w:b/>
          <w:bCs/>
          <w:szCs w:val="21"/>
        </w:rPr>
        <w:t>加盖公章</w:t>
      </w:r>
      <w:r>
        <w:rPr>
          <w:rFonts w:hint="eastAsia" w:ascii="宋体" w:hAnsi="宋体" w:cs="Arial"/>
          <w:bCs/>
          <w:szCs w:val="21"/>
        </w:rPr>
        <w:t>后的原件方为有效；</w:t>
      </w:r>
    </w:p>
    <w:p>
      <w:pPr>
        <w:snapToGrid w:val="0"/>
        <w:ind w:firstLine="420" w:firstLineChars="200"/>
        <w:rPr>
          <w:rFonts w:ascii="宋体" w:hAnsi="宋体" w:cs="Arial"/>
          <w:bCs/>
          <w:szCs w:val="21"/>
        </w:rPr>
      </w:pPr>
      <w:r>
        <w:rPr>
          <w:rFonts w:hint="eastAsia" w:ascii="宋体" w:hAnsi="宋体" w:cs="Arial"/>
          <w:bCs/>
          <w:szCs w:val="21"/>
        </w:rPr>
        <w:t>2.须提供法定代表人/负责人的身份证复印件（附后）。</w:t>
      </w:r>
    </w:p>
    <w:p>
      <w:pPr>
        <w:widowControl/>
        <w:spacing w:line="360" w:lineRule="auto"/>
        <w:jc w:val="left"/>
        <w:rPr>
          <w:b/>
          <w:bCs/>
          <w:sz w:val="24"/>
        </w:rPr>
      </w:pPr>
      <w:r>
        <w:br w:type="page"/>
      </w:r>
      <w:r>
        <w:rPr>
          <w:rFonts w:hint="eastAsia"/>
          <w:b/>
          <w:bCs/>
          <w:sz w:val="24"/>
        </w:rPr>
        <w:t>3.法人/负责人授权委托证明书原件及身份证复印件（加盖投标人公章）；</w:t>
      </w:r>
    </w:p>
    <w:p>
      <w:pPr>
        <w:spacing w:before="120" w:after="120"/>
        <w:jc w:val="center"/>
        <w:rPr>
          <w:szCs w:val="21"/>
        </w:rPr>
      </w:pPr>
    </w:p>
    <w:p>
      <w:pPr>
        <w:spacing w:before="120" w:after="120"/>
        <w:jc w:val="center"/>
        <w:rPr>
          <w:rFonts w:ascii="宋体" w:hAnsi="宋体" w:cs="Arial"/>
          <w:b/>
          <w:szCs w:val="21"/>
        </w:rPr>
      </w:pPr>
      <w:r>
        <w:rPr>
          <w:rFonts w:hint="eastAsia" w:ascii="宋体" w:hAnsi="宋体" w:eastAsia="黑体" w:cs="Arial"/>
          <w:b/>
          <w:bCs/>
          <w:szCs w:val="21"/>
          <w:u w:val="single"/>
        </w:rPr>
        <w:t>法定代表人/负责人授权书</w:t>
      </w:r>
    </w:p>
    <w:p>
      <w:pPr>
        <w:rPr>
          <w:rFonts w:ascii="宋体" w:cs="Arial"/>
          <w:bCs/>
          <w:szCs w:val="21"/>
        </w:rPr>
      </w:pPr>
    </w:p>
    <w:p>
      <w:pPr>
        <w:rPr>
          <w:rFonts w:ascii="宋体" w:hAnsi="宋体" w:cs="Arial"/>
          <w:bCs/>
          <w:szCs w:val="21"/>
        </w:rPr>
      </w:pPr>
      <w:r>
        <w:rPr>
          <w:rFonts w:hint="eastAsia" w:ascii="宋体" w:hAnsi="宋体" w:cs="Arial"/>
          <w:bCs/>
          <w:szCs w:val="21"/>
        </w:rPr>
        <w:t>致（采购单位）：</w:t>
      </w:r>
    </w:p>
    <w:p>
      <w:pPr>
        <w:rPr>
          <w:rFonts w:ascii="宋体" w:hAnsi="宋体" w:cs="Arial"/>
          <w:bCs/>
          <w:szCs w:val="21"/>
        </w:rPr>
      </w:pPr>
    </w:p>
    <w:p>
      <w:pPr>
        <w:ind w:firstLine="420" w:firstLineChars="200"/>
        <w:rPr>
          <w:rFonts w:ascii="宋体" w:hAnsi="宋体" w:cs="Arial"/>
          <w:bCs/>
          <w:szCs w:val="21"/>
        </w:rPr>
      </w:pPr>
      <w:r>
        <w:rPr>
          <w:rFonts w:ascii="宋体" w:hAnsi="宋体" w:cs="Arial"/>
          <w:bCs/>
          <w:szCs w:val="21"/>
        </w:rPr>
        <w:t xml:space="preserve">          （投标人全称）     </w:t>
      </w:r>
      <w:r>
        <w:rPr>
          <w:rFonts w:hint="eastAsia" w:ascii="宋体" w:hAnsi="宋体" w:cs="Arial"/>
          <w:bCs/>
          <w:szCs w:val="21"/>
        </w:rPr>
        <w:t xml:space="preserve"> 法定代表人/负责人</w:t>
      </w:r>
      <w:r>
        <w:rPr>
          <w:rFonts w:ascii="宋体" w:hAnsi="宋体" w:cs="Arial"/>
          <w:bCs/>
          <w:szCs w:val="21"/>
        </w:rPr>
        <w:t xml:space="preserve">  （姓名、职务）              </w:t>
      </w:r>
      <w:r>
        <w:rPr>
          <w:rFonts w:hint="eastAsia" w:ascii="宋体" w:hAnsi="宋体" w:cs="Arial"/>
          <w:bCs/>
          <w:szCs w:val="21"/>
        </w:rPr>
        <w:t xml:space="preserve">授权 </w:t>
      </w:r>
      <w:r>
        <w:rPr>
          <w:rFonts w:ascii="宋体" w:hAnsi="宋体" w:cs="Arial"/>
          <w:bCs/>
          <w:szCs w:val="21"/>
        </w:rPr>
        <w:t xml:space="preserve">  （被授权代表姓名、职务）              </w:t>
      </w:r>
      <w:r>
        <w:rPr>
          <w:rFonts w:hint="eastAsia" w:ascii="宋体" w:hAnsi="宋体" w:cs="Arial"/>
          <w:bCs/>
          <w:szCs w:val="21"/>
        </w:rPr>
        <w:t>为本单位合法代理人，参加贵招标代理单位组织的</w:t>
      </w:r>
      <w:r>
        <w:rPr>
          <w:rFonts w:ascii="宋体" w:hAnsi="宋体" w:cs="Arial"/>
          <w:bCs/>
          <w:szCs w:val="21"/>
        </w:rPr>
        <w:t xml:space="preserve">   (项目名称)（项目编号）                      </w:t>
      </w:r>
      <w:r>
        <w:rPr>
          <w:rFonts w:hint="eastAsia" w:ascii="宋体" w:hAnsi="宋体" w:cs="Arial"/>
          <w:bCs/>
          <w:szCs w:val="21"/>
        </w:rPr>
        <w:t xml:space="preserve"> 项目的招标投标活动，代表本单位处理招标投标活动中的一切事宜。包括但不限于：投标、参与开标、谈判、签约等。投标人代表在投标过程中所签署的一切文件和处理与之有关的一切事务，本单位均予以认可并对此承担责任。投标人代表无转委权。特此授权。</w:t>
      </w:r>
    </w:p>
    <w:p>
      <w:pPr>
        <w:rPr>
          <w:rFonts w:ascii="宋体" w:hAnsi="宋体" w:cs="Arial"/>
          <w:bCs/>
          <w:szCs w:val="21"/>
        </w:rPr>
      </w:pPr>
      <w:r>
        <w:rPr>
          <w:rFonts w:hint="eastAsia" w:ascii="宋体" w:hAnsi="宋体" w:cs="Arial"/>
          <w:bCs/>
          <w:szCs w:val="21"/>
        </w:rPr>
        <w:t xml:space="preserve">     本授权书于   年   月   日签字生效,特此声明。</w:t>
      </w:r>
    </w:p>
    <w:p>
      <w:pPr>
        <w:rPr>
          <w:rFonts w:ascii="宋体" w:hAnsi="宋体" w:cs="Arial"/>
          <w:bCs/>
          <w:szCs w:val="21"/>
        </w:rPr>
      </w:pPr>
    </w:p>
    <w:p>
      <w:pPr>
        <w:ind w:firstLine="105" w:firstLineChars="50"/>
        <w:rPr>
          <w:rFonts w:ascii="宋体" w:hAnsi="宋体" w:cs="Arial"/>
          <w:bCs/>
          <w:szCs w:val="21"/>
        </w:rPr>
      </w:pPr>
      <w:r>
        <w:rPr>
          <w:rFonts w:hint="eastAsia" w:ascii="宋体" w:hAnsi="宋体" w:cs="Arial"/>
          <w:bCs/>
          <w:szCs w:val="21"/>
        </w:rPr>
        <w:t>被授权人：   职务：</w:t>
      </w:r>
    </w:p>
    <w:p>
      <w:pPr>
        <w:ind w:firstLine="105" w:firstLineChars="50"/>
        <w:rPr>
          <w:rFonts w:ascii="宋体" w:hAnsi="宋体" w:cs="Arial"/>
          <w:bCs/>
          <w:szCs w:val="21"/>
        </w:rPr>
      </w:pPr>
      <w:r>
        <w:rPr>
          <w:rFonts w:hint="eastAsia" w:ascii="宋体" w:hAnsi="宋体" w:cs="Arial"/>
          <w:bCs/>
          <w:szCs w:val="21"/>
        </w:rPr>
        <w:t>联系电话：   手机：</w:t>
      </w:r>
    </w:p>
    <w:p>
      <w:pPr>
        <w:ind w:firstLine="105" w:firstLineChars="50"/>
        <w:rPr>
          <w:rFonts w:ascii="宋体" w:hAnsi="宋体" w:cs="Arial"/>
          <w:bCs/>
          <w:szCs w:val="21"/>
        </w:rPr>
      </w:pPr>
      <w:r>
        <w:rPr>
          <w:rFonts w:hint="eastAsia" w:ascii="宋体" w:hAnsi="宋体" w:cs="Arial"/>
          <w:bCs/>
          <w:szCs w:val="21"/>
        </w:rPr>
        <w:t>身份证号码：</w:t>
      </w:r>
    </w:p>
    <w:p>
      <w:pPr>
        <w:ind w:firstLine="105" w:firstLineChars="50"/>
        <w:rPr>
          <w:rFonts w:ascii="宋体" w:hAnsi="宋体" w:cs="Arial"/>
          <w:bCs/>
          <w:szCs w:val="21"/>
        </w:rPr>
      </w:pPr>
      <w:r>
        <w:rPr>
          <w:rFonts w:hint="eastAsia" w:ascii="宋体" w:hAnsi="宋体" w:cs="Arial"/>
          <w:bCs/>
          <w:szCs w:val="21"/>
        </w:rPr>
        <w:t>投标单位（盖公章）：</w:t>
      </w:r>
    </w:p>
    <w:p>
      <w:pPr>
        <w:ind w:firstLine="105" w:firstLineChars="50"/>
        <w:rPr>
          <w:rFonts w:ascii="宋体" w:hAnsi="宋体" w:cs="Arial"/>
          <w:bCs/>
          <w:szCs w:val="21"/>
        </w:rPr>
      </w:pPr>
      <w:r>
        <w:rPr>
          <w:rFonts w:hint="eastAsia" w:ascii="宋体" w:hAnsi="宋体" w:cs="Arial"/>
          <w:bCs/>
          <w:szCs w:val="21"/>
        </w:rPr>
        <w:t>法定代表人（签名）：</w:t>
      </w:r>
    </w:p>
    <w:p>
      <w:pPr>
        <w:ind w:firstLine="105" w:firstLineChars="50"/>
        <w:rPr>
          <w:rFonts w:ascii="宋体" w:hAnsi="宋体" w:cs="Arial"/>
          <w:bCs/>
          <w:szCs w:val="21"/>
        </w:rPr>
      </w:pPr>
      <w:r>
        <w:rPr>
          <w:rFonts w:hint="eastAsia" w:ascii="宋体" w:hAnsi="宋体" w:cs="Arial"/>
          <w:bCs/>
          <w:szCs w:val="21"/>
        </w:rPr>
        <w:t>被授权人（签名）：</w:t>
      </w:r>
    </w:p>
    <w:p>
      <w:pPr>
        <w:rPr>
          <w:rFonts w:ascii="宋体" w:hAnsi="宋体" w:cs="Arial"/>
          <w:bCs/>
          <w:szCs w:val="21"/>
        </w:rPr>
      </w:pPr>
    </w:p>
    <w:p>
      <w:pPr>
        <w:rPr>
          <w:rFonts w:ascii="宋体" w:hAnsi="宋体" w:cs="Arial"/>
          <w:bCs/>
          <w:szCs w:val="21"/>
        </w:rPr>
      </w:pPr>
    </w:p>
    <w:p>
      <w:pPr>
        <w:rPr>
          <w:rFonts w:ascii="宋体" w:hAnsi="宋体" w:cs="Arial"/>
          <w:bCs/>
          <w:szCs w:val="21"/>
        </w:rPr>
      </w:pPr>
    </w:p>
    <w:p>
      <w:pPr>
        <w:rPr>
          <w:rFonts w:ascii="宋体" w:hAnsi="宋体" w:cs="Arial"/>
          <w:bCs/>
          <w:szCs w:val="21"/>
        </w:rPr>
      </w:pPr>
    </w:p>
    <w:p>
      <w:pPr>
        <w:rPr>
          <w:rFonts w:ascii="宋体" w:hAnsi="宋体" w:cs="Arial"/>
          <w:bCs/>
          <w:szCs w:val="21"/>
        </w:rPr>
      </w:pPr>
    </w:p>
    <w:p>
      <w:pPr>
        <w:rPr>
          <w:rFonts w:ascii="宋体" w:hAnsi="宋体" w:cs="Arial"/>
          <w:bCs/>
          <w:szCs w:val="21"/>
        </w:rPr>
      </w:pPr>
    </w:p>
    <w:p>
      <w:pPr>
        <w:rPr>
          <w:rFonts w:ascii="宋体" w:hAnsi="宋体" w:cs="Arial"/>
          <w:bCs/>
          <w:szCs w:val="21"/>
        </w:rPr>
      </w:pPr>
      <w:r>
        <w:rPr>
          <w:rFonts w:hint="eastAsia" w:ascii="宋体" w:hAnsi="宋体" w:cs="Arial"/>
          <w:bCs/>
          <w:szCs w:val="21"/>
        </w:rPr>
        <w:t>说明：</w:t>
      </w:r>
    </w:p>
    <w:p>
      <w:pPr>
        <w:ind w:firstLine="420" w:firstLineChars="200"/>
        <w:rPr>
          <w:rFonts w:ascii="宋体" w:hAnsi="宋体" w:cs="Arial"/>
          <w:bCs/>
          <w:szCs w:val="21"/>
        </w:rPr>
      </w:pPr>
      <w:r>
        <w:rPr>
          <w:rFonts w:hint="eastAsia" w:ascii="宋体" w:hAnsi="宋体" w:cs="Arial"/>
          <w:bCs/>
          <w:szCs w:val="21"/>
        </w:rPr>
        <w:t>1.本授权委托书要求投标人提供有</w:t>
      </w:r>
      <w:r>
        <w:rPr>
          <w:rFonts w:hint="eastAsia" w:ascii="宋体" w:hAnsi="宋体" w:cs="Arial"/>
          <w:b/>
          <w:bCs/>
          <w:szCs w:val="21"/>
        </w:rPr>
        <w:t>被授权人签字、法定代表人的签字（或盖私章）和加盖公章</w:t>
      </w:r>
      <w:r>
        <w:rPr>
          <w:rFonts w:hint="eastAsia" w:ascii="宋体" w:hAnsi="宋体" w:cs="Arial"/>
          <w:bCs/>
          <w:szCs w:val="21"/>
        </w:rPr>
        <w:t>后的原件方为有效；</w:t>
      </w:r>
    </w:p>
    <w:p>
      <w:pPr>
        <w:ind w:firstLine="420" w:firstLineChars="200"/>
        <w:rPr>
          <w:rFonts w:ascii="宋体" w:hAnsi="宋体" w:cs="Arial"/>
          <w:bCs/>
          <w:szCs w:val="21"/>
        </w:rPr>
      </w:pPr>
      <w:r>
        <w:rPr>
          <w:rFonts w:hint="eastAsia" w:ascii="宋体" w:hAnsi="宋体" w:cs="Arial"/>
          <w:bCs/>
          <w:szCs w:val="21"/>
        </w:rPr>
        <w:t>2.提供被授权人的身份证复印件（附后）。</w:t>
      </w:r>
    </w:p>
    <w:p>
      <w:pPr>
        <w:widowControl/>
        <w:jc w:val="left"/>
        <w:rPr>
          <w:b/>
          <w:bCs/>
          <w:sz w:val="30"/>
        </w:rPr>
      </w:pPr>
      <w:r>
        <w:rPr>
          <w:b/>
          <w:bCs/>
          <w:sz w:val="30"/>
        </w:rPr>
        <w:br w:type="page"/>
      </w:r>
      <w:r>
        <w:rPr>
          <w:rFonts w:hint="eastAsia"/>
          <w:b/>
          <w:bCs/>
          <w:sz w:val="24"/>
        </w:rPr>
        <w:t>4.投标人自行补充</w:t>
      </w:r>
      <w:r>
        <w:rPr>
          <w:b/>
          <w:bCs/>
          <w:sz w:val="30"/>
        </w:rPr>
        <w:br w:type="page"/>
      </w:r>
    </w:p>
    <w:p>
      <w:pPr>
        <w:jc w:val="center"/>
        <w:outlineLvl w:val="1"/>
        <w:rPr>
          <w:b/>
          <w:bCs/>
          <w:sz w:val="30"/>
        </w:rPr>
      </w:pPr>
      <w:bookmarkStart w:id="48" w:name="_Toc76054654"/>
      <w:r>
        <w:rPr>
          <w:rFonts w:hint="eastAsia"/>
          <w:b/>
          <w:bCs/>
          <w:sz w:val="30"/>
        </w:rPr>
        <w:t>二、投标响应书</w:t>
      </w:r>
      <w:bookmarkEnd w:id="48"/>
    </w:p>
    <w:p/>
    <w:p>
      <w:pPr>
        <w:rPr>
          <w:u w:val="single"/>
        </w:rPr>
      </w:pPr>
      <w:r>
        <w:rPr>
          <w:rFonts w:hint="eastAsia"/>
        </w:rPr>
        <w:t>致：</w:t>
      </w:r>
    </w:p>
    <w:p>
      <w:pPr>
        <w:ind w:firstLine="432" w:firstLineChars="206"/>
      </w:pPr>
      <w:r>
        <w:rPr>
          <w:rFonts w:hint="eastAsia"/>
        </w:rPr>
        <w:t>根据贵方为项目采购的邀请_____________（招标文件编号），签字代表</w:t>
      </w:r>
      <w:r>
        <w:rPr>
          <w:rFonts w:hint="eastAsia"/>
          <w:u w:val="single"/>
        </w:rPr>
        <w:t xml:space="preserve">   </w:t>
      </w:r>
      <w:r>
        <w:rPr>
          <w:rFonts w:hint="eastAsia"/>
        </w:rPr>
        <w:t>（全名、职务）经正式授权并代表供应商（供应商方名称、地址）提交五份投标文件。</w:t>
      </w:r>
    </w:p>
    <w:p>
      <w:r>
        <w:rPr>
          <w:rFonts w:hint="eastAsia"/>
        </w:rPr>
        <w:t>据此函，签字代表宣布同意如下：</w:t>
      </w:r>
    </w:p>
    <w:p>
      <w:pPr>
        <w:ind w:firstLine="420" w:firstLineChars="200"/>
      </w:pPr>
      <w:r>
        <w:rPr>
          <w:rFonts w:hint="eastAsia"/>
        </w:rPr>
        <w:t>1.供应商将按招标文件的规定履行合同责任和义务。</w:t>
      </w:r>
    </w:p>
    <w:p>
      <w:pPr>
        <w:ind w:firstLine="420" w:firstLineChars="200"/>
      </w:pPr>
      <w:r>
        <w:rPr>
          <w:rFonts w:hint="eastAsia"/>
        </w:rPr>
        <w:t>2.供应商已详细审查全部投标文件，包括修改文件（如有的话）以及全部参考资料和有关附件。我们完全理解并同意放弃对这方面有不明及误解的权利。</w:t>
      </w:r>
    </w:p>
    <w:p>
      <w:pPr>
        <w:ind w:firstLine="420" w:firstLineChars="200"/>
      </w:pPr>
      <w:r>
        <w:rPr>
          <w:rFonts w:hint="eastAsia"/>
        </w:rPr>
        <w:t>3.与本投标项目有关的一切正式往来通讯请寄：</w:t>
      </w:r>
    </w:p>
    <w:p>
      <w:pPr>
        <w:ind w:firstLine="432"/>
      </w:pPr>
    </w:p>
    <w:p>
      <w:pPr>
        <w:ind w:firstLine="432"/>
        <w:rPr>
          <w:u w:val="single"/>
        </w:rPr>
      </w:pPr>
      <w:r>
        <w:rPr>
          <w:rFonts w:hint="eastAsia"/>
        </w:rPr>
        <w:t>地址：邮编：</w:t>
      </w:r>
    </w:p>
    <w:p>
      <w:pPr>
        <w:ind w:firstLine="432"/>
        <w:rPr>
          <w:u w:val="single"/>
        </w:rPr>
      </w:pPr>
    </w:p>
    <w:p>
      <w:pPr>
        <w:ind w:firstLine="432"/>
        <w:rPr>
          <w:u w:val="single"/>
        </w:rPr>
      </w:pPr>
      <w:r>
        <w:rPr>
          <w:rFonts w:hint="eastAsia"/>
        </w:rPr>
        <w:t>电话：传真：</w:t>
      </w:r>
    </w:p>
    <w:p>
      <w:pPr>
        <w:ind w:firstLine="432"/>
        <w:rPr>
          <w:u w:val="single"/>
        </w:rPr>
      </w:pPr>
    </w:p>
    <w:p>
      <w:pPr>
        <w:ind w:firstLine="432"/>
        <w:rPr>
          <w:u w:val="single"/>
        </w:rPr>
      </w:pPr>
    </w:p>
    <w:p>
      <w:pPr>
        <w:ind w:firstLine="432"/>
      </w:pPr>
    </w:p>
    <w:p/>
    <w:p>
      <w:pPr>
        <w:ind w:firstLine="432"/>
      </w:pPr>
    </w:p>
    <w:p>
      <w:pPr>
        <w:ind w:firstLine="432"/>
      </w:pPr>
    </w:p>
    <w:p>
      <w:pPr>
        <w:spacing w:line="360" w:lineRule="auto"/>
        <w:ind w:firstLine="3150" w:firstLineChars="1500"/>
        <w:jc w:val="left"/>
        <w:rPr>
          <w:szCs w:val="21"/>
        </w:rPr>
      </w:pPr>
      <w:r>
        <w:rPr>
          <w:rFonts w:hint="eastAsia"/>
          <w:szCs w:val="21"/>
        </w:rPr>
        <w:t>法定代表人或其授权委托人（</w:t>
      </w:r>
      <w:r>
        <w:rPr>
          <w:rFonts w:hint="eastAsia"/>
          <w:b/>
          <w:szCs w:val="21"/>
        </w:rPr>
        <w:t>签名</w:t>
      </w:r>
      <w:r>
        <w:rPr>
          <w:rFonts w:hint="eastAsia"/>
          <w:szCs w:val="21"/>
        </w:rPr>
        <w:t>）：</w:t>
      </w:r>
    </w:p>
    <w:p>
      <w:pPr>
        <w:spacing w:line="360" w:lineRule="auto"/>
        <w:ind w:firstLine="3150" w:firstLineChars="1500"/>
        <w:jc w:val="left"/>
        <w:rPr>
          <w:szCs w:val="21"/>
        </w:rPr>
      </w:pPr>
      <w:r>
        <w:rPr>
          <w:rFonts w:hint="eastAsia"/>
          <w:szCs w:val="21"/>
        </w:rPr>
        <w:t>投标单位（</w:t>
      </w:r>
      <w:r>
        <w:rPr>
          <w:rFonts w:hint="eastAsia"/>
          <w:b/>
          <w:szCs w:val="21"/>
        </w:rPr>
        <w:t>盖公章</w:t>
      </w:r>
      <w:r>
        <w:rPr>
          <w:rFonts w:hint="eastAsia"/>
          <w:szCs w:val="21"/>
        </w:rPr>
        <w:t>）：</w:t>
      </w:r>
    </w:p>
    <w:p>
      <w:pPr>
        <w:spacing w:line="360" w:lineRule="auto"/>
        <w:jc w:val="center"/>
        <w:rPr>
          <w:szCs w:val="21"/>
        </w:rPr>
      </w:pPr>
      <w:r>
        <w:rPr>
          <w:rFonts w:hint="eastAsia"/>
          <w:szCs w:val="21"/>
        </w:rPr>
        <w:t xml:space="preserve">               </w:t>
      </w:r>
    </w:p>
    <w:p>
      <w:pPr>
        <w:spacing w:line="360" w:lineRule="auto"/>
        <w:jc w:val="right"/>
        <w:rPr>
          <w:szCs w:val="21"/>
        </w:rPr>
      </w:pPr>
      <w:r>
        <w:rPr>
          <w:rFonts w:hint="eastAsia"/>
          <w:szCs w:val="21"/>
        </w:rPr>
        <w:t xml:space="preserve">   日期：年月日</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outlineLvl w:val="1"/>
        <w:rPr>
          <w:b/>
          <w:bCs/>
          <w:sz w:val="30"/>
        </w:rPr>
      </w:pPr>
      <w:r>
        <w:rPr>
          <w:b/>
          <w:bCs/>
          <w:sz w:val="30"/>
        </w:rPr>
        <w:br w:type="page"/>
      </w:r>
      <w:bookmarkStart w:id="49" w:name="_Toc76054655"/>
      <w:r>
        <w:rPr>
          <w:rFonts w:hint="eastAsia"/>
          <w:b/>
          <w:bCs/>
          <w:sz w:val="30"/>
        </w:rPr>
        <w:t>三、项目分项清单及报价</w:t>
      </w:r>
      <w:bookmarkEnd w:id="49"/>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53"/>
        <w:gridCol w:w="1971"/>
        <w:gridCol w:w="1971"/>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Pr>
          <w:p>
            <w:pPr>
              <w:spacing w:line="360" w:lineRule="auto"/>
              <w:jc w:val="center"/>
              <w:rPr>
                <w:rFonts w:ascii="宋体" w:cs="Arial"/>
                <w:bCs/>
                <w:sz w:val="24"/>
              </w:rPr>
            </w:pPr>
            <w:r>
              <w:rPr>
                <w:rFonts w:hint="eastAsia" w:ascii="宋体" w:hAnsi="宋体" w:cs="Arial"/>
                <w:bCs/>
                <w:sz w:val="24"/>
              </w:rPr>
              <w:t>序号</w:t>
            </w:r>
          </w:p>
        </w:tc>
        <w:tc>
          <w:tcPr>
            <w:tcW w:w="2753" w:type="dxa"/>
          </w:tcPr>
          <w:p>
            <w:pPr>
              <w:spacing w:line="360" w:lineRule="auto"/>
              <w:jc w:val="center"/>
              <w:rPr>
                <w:rFonts w:ascii="宋体" w:cs="Arial"/>
                <w:bCs/>
                <w:sz w:val="24"/>
              </w:rPr>
            </w:pPr>
            <w:r>
              <w:rPr>
                <w:rFonts w:hint="eastAsia" w:ascii="宋体" w:hAnsi="宋体" w:cs="Arial"/>
                <w:bCs/>
                <w:sz w:val="24"/>
              </w:rPr>
              <w:t>项目内容</w:t>
            </w:r>
          </w:p>
        </w:tc>
        <w:tc>
          <w:tcPr>
            <w:tcW w:w="1971" w:type="dxa"/>
          </w:tcPr>
          <w:p>
            <w:pPr>
              <w:spacing w:line="360" w:lineRule="auto"/>
              <w:jc w:val="center"/>
              <w:rPr>
                <w:rFonts w:ascii="宋体" w:cs="Arial"/>
                <w:bCs/>
                <w:sz w:val="24"/>
              </w:rPr>
            </w:pPr>
            <w:r>
              <w:rPr>
                <w:rFonts w:hint="eastAsia" w:ascii="宋体" w:hAnsi="宋体" w:cs="Arial"/>
                <w:bCs/>
                <w:sz w:val="24"/>
              </w:rPr>
              <w:t>单价（元）</w:t>
            </w:r>
          </w:p>
        </w:tc>
        <w:tc>
          <w:tcPr>
            <w:tcW w:w="1971" w:type="dxa"/>
          </w:tcPr>
          <w:p>
            <w:pPr>
              <w:spacing w:line="360" w:lineRule="auto"/>
              <w:jc w:val="center"/>
              <w:rPr>
                <w:rFonts w:ascii="宋体" w:cs="Arial"/>
                <w:bCs/>
                <w:sz w:val="24"/>
              </w:rPr>
            </w:pPr>
            <w:r>
              <w:rPr>
                <w:rFonts w:hint="eastAsia" w:ascii="宋体" w:hAnsi="宋体" w:cs="Arial"/>
                <w:bCs/>
                <w:sz w:val="24"/>
              </w:rPr>
              <w:t>总价（元）</w:t>
            </w:r>
          </w:p>
        </w:tc>
        <w:tc>
          <w:tcPr>
            <w:tcW w:w="1439" w:type="dxa"/>
          </w:tcPr>
          <w:p>
            <w:pPr>
              <w:spacing w:line="360" w:lineRule="auto"/>
              <w:jc w:val="center"/>
              <w:rPr>
                <w:rFonts w:ascii="宋体" w:cs="Arial"/>
                <w:bCs/>
                <w:sz w:val="24"/>
              </w:rPr>
            </w:pPr>
            <w:r>
              <w:rPr>
                <w:rFonts w:hint="eastAsia" w:ascii="宋体" w:hAnsi="宋体" w:cs="Arial"/>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Pr>
          <w:p>
            <w:pPr>
              <w:spacing w:line="360" w:lineRule="auto"/>
              <w:jc w:val="center"/>
              <w:rPr>
                <w:rFonts w:ascii="宋体" w:cs="Arial"/>
                <w:bCs/>
                <w:sz w:val="24"/>
              </w:rPr>
            </w:pPr>
            <w:r>
              <w:rPr>
                <w:rFonts w:ascii="宋体" w:hAnsi="宋体" w:cs="Arial"/>
                <w:bCs/>
                <w:sz w:val="24"/>
              </w:rPr>
              <w:t>1</w:t>
            </w:r>
          </w:p>
        </w:tc>
        <w:tc>
          <w:tcPr>
            <w:tcW w:w="2753"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439" w:type="dxa"/>
          </w:tcPr>
          <w:p>
            <w:pPr>
              <w:spacing w:line="360" w:lineRule="auto"/>
              <w:jc w:val="center"/>
              <w:rPr>
                <w:rFonts w:asci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Pr>
          <w:p>
            <w:pPr>
              <w:spacing w:line="360" w:lineRule="auto"/>
              <w:jc w:val="center"/>
              <w:rPr>
                <w:rFonts w:ascii="宋体" w:cs="Arial"/>
                <w:bCs/>
                <w:sz w:val="24"/>
              </w:rPr>
            </w:pPr>
            <w:r>
              <w:rPr>
                <w:rFonts w:ascii="宋体" w:hAnsi="宋体" w:cs="Arial"/>
                <w:bCs/>
                <w:sz w:val="24"/>
              </w:rPr>
              <w:t>2</w:t>
            </w:r>
          </w:p>
        </w:tc>
        <w:tc>
          <w:tcPr>
            <w:tcW w:w="2753"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439" w:type="dxa"/>
          </w:tcPr>
          <w:p>
            <w:pPr>
              <w:spacing w:line="360" w:lineRule="auto"/>
              <w:jc w:val="center"/>
              <w:rPr>
                <w:rFonts w:asci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Pr>
          <w:p>
            <w:pPr>
              <w:spacing w:line="360" w:lineRule="auto"/>
              <w:jc w:val="center"/>
              <w:rPr>
                <w:rFonts w:ascii="宋体" w:cs="Arial"/>
                <w:bCs/>
                <w:sz w:val="24"/>
              </w:rPr>
            </w:pPr>
            <w:r>
              <w:rPr>
                <w:rFonts w:hint="eastAsia" w:ascii="宋体" w:hAnsi="宋体" w:cs="Arial"/>
                <w:bCs/>
                <w:sz w:val="24"/>
              </w:rPr>
              <w:t>…</w:t>
            </w:r>
          </w:p>
        </w:tc>
        <w:tc>
          <w:tcPr>
            <w:tcW w:w="2753"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439" w:type="dxa"/>
          </w:tcPr>
          <w:p>
            <w:pPr>
              <w:spacing w:line="360" w:lineRule="auto"/>
              <w:jc w:val="center"/>
              <w:rPr>
                <w:rFonts w:asci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tcPr>
          <w:p>
            <w:pPr>
              <w:spacing w:line="360" w:lineRule="auto"/>
              <w:jc w:val="center"/>
              <w:rPr>
                <w:rFonts w:ascii="宋体" w:cs="Arial"/>
                <w:bCs/>
                <w:sz w:val="24"/>
              </w:rPr>
            </w:pPr>
            <w:r>
              <w:rPr>
                <w:rFonts w:hint="eastAsia" w:ascii="宋体" w:hAnsi="宋体" w:cs="Arial"/>
                <w:bCs/>
                <w:sz w:val="24"/>
              </w:rPr>
              <w:t>…</w:t>
            </w:r>
          </w:p>
        </w:tc>
        <w:tc>
          <w:tcPr>
            <w:tcW w:w="2753"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971" w:type="dxa"/>
          </w:tcPr>
          <w:p>
            <w:pPr>
              <w:spacing w:line="360" w:lineRule="auto"/>
              <w:jc w:val="center"/>
              <w:rPr>
                <w:rFonts w:ascii="宋体" w:cs="Arial"/>
                <w:bCs/>
                <w:sz w:val="24"/>
              </w:rPr>
            </w:pPr>
          </w:p>
        </w:tc>
        <w:tc>
          <w:tcPr>
            <w:tcW w:w="1439" w:type="dxa"/>
          </w:tcPr>
          <w:p>
            <w:pPr>
              <w:spacing w:line="360" w:lineRule="auto"/>
              <w:jc w:val="center"/>
              <w:rPr>
                <w:rFonts w:asci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2" w:type="dxa"/>
            <w:gridSpan w:val="3"/>
          </w:tcPr>
          <w:p>
            <w:pPr>
              <w:spacing w:line="360" w:lineRule="auto"/>
              <w:rPr>
                <w:rFonts w:ascii="宋体" w:cs="Arial"/>
                <w:bCs/>
                <w:sz w:val="24"/>
              </w:rPr>
            </w:pPr>
            <w:r>
              <w:rPr>
                <w:rFonts w:hint="eastAsia" w:ascii="宋体" w:hAnsi="宋体" w:cs="Arial"/>
                <w:bCs/>
                <w:sz w:val="24"/>
              </w:rPr>
              <w:t>投标总价（元）</w:t>
            </w:r>
            <w:r>
              <w:rPr>
                <w:rFonts w:ascii="宋体" w:cs="Arial"/>
                <w:bCs/>
                <w:sz w:val="24"/>
              </w:rPr>
              <w:tab/>
            </w:r>
          </w:p>
        </w:tc>
        <w:tc>
          <w:tcPr>
            <w:tcW w:w="1971" w:type="dxa"/>
          </w:tcPr>
          <w:p>
            <w:pPr>
              <w:spacing w:line="360" w:lineRule="auto"/>
              <w:rPr>
                <w:rFonts w:ascii="宋体" w:cs="Arial"/>
                <w:bCs/>
                <w:sz w:val="24"/>
              </w:rPr>
            </w:pPr>
          </w:p>
        </w:tc>
        <w:tc>
          <w:tcPr>
            <w:tcW w:w="1439" w:type="dxa"/>
          </w:tcPr>
          <w:p>
            <w:pPr>
              <w:spacing w:line="360" w:lineRule="auto"/>
              <w:rPr>
                <w:rFonts w:asci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1" w:type="dxa"/>
            <w:gridSpan w:val="2"/>
          </w:tcPr>
          <w:p>
            <w:pPr>
              <w:spacing w:line="360" w:lineRule="auto"/>
              <w:rPr>
                <w:rFonts w:ascii="宋体" w:cs="Arial"/>
                <w:bCs/>
                <w:sz w:val="24"/>
              </w:rPr>
            </w:pPr>
            <w:r>
              <w:rPr>
                <w:rFonts w:hint="eastAsia" w:ascii="宋体" w:hAnsi="宋体" w:cs="Arial"/>
                <w:bCs/>
                <w:sz w:val="24"/>
              </w:rPr>
              <w:t>供应商名称：</w:t>
            </w:r>
          </w:p>
        </w:tc>
        <w:tc>
          <w:tcPr>
            <w:tcW w:w="5381" w:type="dxa"/>
            <w:gridSpan w:val="3"/>
          </w:tcPr>
          <w:p>
            <w:pPr>
              <w:spacing w:line="360" w:lineRule="auto"/>
              <w:rPr>
                <w:rFonts w:ascii="宋体" w:cs="Arial"/>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1" w:type="dxa"/>
            <w:gridSpan w:val="2"/>
          </w:tcPr>
          <w:p>
            <w:pPr>
              <w:spacing w:line="360" w:lineRule="auto"/>
              <w:rPr>
                <w:rFonts w:ascii="宋体" w:cs="Arial"/>
                <w:bCs/>
                <w:sz w:val="24"/>
              </w:rPr>
            </w:pPr>
            <w:r>
              <w:rPr>
                <w:rFonts w:hint="eastAsia" w:ascii="宋体" w:hAnsi="宋体" w:cs="Arial"/>
                <w:bCs/>
                <w:sz w:val="24"/>
              </w:rPr>
              <w:t>供应商代表姓名：</w:t>
            </w:r>
          </w:p>
        </w:tc>
        <w:tc>
          <w:tcPr>
            <w:tcW w:w="5381" w:type="dxa"/>
            <w:gridSpan w:val="3"/>
          </w:tcPr>
          <w:p>
            <w:pPr>
              <w:spacing w:line="360" w:lineRule="auto"/>
              <w:rPr>
                <w:rFonts w:ascii="宋体" w:cs="Arial"/>
                <w:bCs/>
                <w:sz w:val="24"/>
              </w:rPr>
            </w:pPr>
          </w:p>
        </w:tc>
      </w:tr>
    </w:tbl>
    <w:p>
      <w:pPr>
        <w:spacing w:after="60"/>
        <w:rPr>
          <w:rFonts w:cs="Arial"/>
        </w:rPr>
      </w:pPr>
    </w:p>
    <w:p>
      <w:pPr>
        <w:spacing w:after="60"/>
        <w:rPr>
          <w:rFonts w:cs="Arial"/>
        </w:rPr>
      </w:pPr>
      <w:r>
        <w:rPr>
          <w:rFonts w:hint="eastAsia" w:cs="Arial"/>
        </w:rPr>
        <w:t>投标人代表签字________________________</w:t>
      </w:r>
    </w:p>
    <w:p>
      <w:pPr>
        <w:spacing w:after="60"/>
        <w:rPr>
          <w:rFonts w:cs="Arial"/>
        </w:rPr>
      </w:pPr>
    </w:p>
    <w:p>
      <w:pPr>
        <w:spacing w:after="60"/>
        <w:rPr>
          <w:rFonts w:cs="Arial"/>
        </w:rPr>
      </w:pPr>
    </w:p>
    <w:p>
      <w:pPr>
        <w:spacing w:after="60"/>
        <w:rPr>
          <w:rFonts w:cs="Arial"/>
        </w:rPr>
      </w:pPr>
      <w:r>
        <w:rPr>
          <w:rFonts w:hint="eastAsia" w:cs="Arial"/>
        </w:rPr>
        <w:t>投标单位盖章：________________________</w:t>
      </w:r>
    </w:p>
    <w:p>
      <w:pPr>
        <w:rPr>
          <w:rFonts w:cs="Arial"/>
        </w:rPr>
      </w:pPr>
    </w:p>
    <w:p>
      <w:pPr>
        <w:rPr>
          <w:sz w:val="28"/>
          <w:u w:val="single"/>
        </w:rPr>
      </w:pPr>
      <w:r>
        <w:rPr>
          <w:rFonts w:hint="eastAsia" w:cs="Arial"/>
        </w:rPr>
        <w:t>日期</w:t>
      </w:r>
      <w:r>
        <w:rPr>
          <w:rFonts w:hint="eastAsia" w:ascii="仿宋" w:hAnsi="仿宋" w:eastAsia="仿宋"/>
          <w:sz w:val="28"/>
          <w:szCs w:val="28"/>
        </w:rPr>
        <w:t>：</w:t>
      </w:r>
    </w:p>
    <w:p>
      <w:pPr>
        <w:rPr>
          <w:rFonts w:ascii="宋体" w:hAnsi="宋体"/>
          <w:szCs w:val="21"/>
        </w:rPr>
      </w:pPr>
    </w:p>
    <w:p>
      <w:pPr>
        <w:pStyle w:val="2"/>
      </w:pPr>
    </w:p>
    <w:p>
      <w:pPr>
        <w:pStyle w:val="2"/>
        <w:rPr>
          <w:rFonts w:ascii="宋体" w:hAnsi="宋体"/>
          <w:b w:val="0"/>
          <w:bCs w:val="0"/>
          <w:szCs w:val="21"/>
        </w:rPr>
      </w:pPr>
    </w:p>
    <w:p>
      <w:pPr>
        <w:pStyle w:val="2"/>
        <w:rPr>
          <w:rFonts w:ascii="宋体" w:hAnsi="宋体"/>
          <w:b w:val="0"/>
          <w:bCs w:val="0"/>
          <w:szCs w:val="21"/>
        </w:rPr>
      </w:pPr>
    </w:p>
    <w:p>
      <w:pPr>
        <w:spacing w:line="360" w:lineRule="auto"/>
        <w:jc w:val="center"/>
        <w:rPr>
          <w:szCs w:val="21"/>
        </w:rPr>
      </w:pPr>
      <w:r>
        <w:rPr>
          <w:rFonts w:hint="eastAsia"/>
          <w:szCs w:val="21"/>
        </w:rPr>
        <w:t xml:space="preserve">               </w:t>
      </w:r>
    </w:p>
    <w:p>
      <w:pPr>
        <w:spacing w:line="360" w:lineRule="auto"/>
        <w:jc w:val="right"/>
        <w:rPr>
          <w:szCs w:val="21"/>
        </w:rPr>
      </w:pPr>
      <w:r>
        <w:rPr>
          <w:rFonts w:hint="eastAsia"/>
          <w:szCs w:val="21"/>
        </w:rPr>
        <w:t xml:space="preserve">   日期：年月日</w:t>
      </w:r>
    </w:p>
    <w:p>
      <w:pPr>
        <w:jc w:val="center"/>
        <w:outlineLvl w:val="1"/>
        <w:rPr>
          <w:b/>
          <w:bCs/>
          <w:sz w:val="30"/>
        </w:rPr>
      </w:pPr>
      <w:r>
        <w:rPr>
          <w:b/>
          <w:bCs/>
          <w:sz w:val="30"/>
        </w:rPr>
        <w:br w:type="page"/>
      </w:r>
      <w:bookmarkStart w:id="50" w:name="_Toc76054656"/>
      <w:r>
        <w:rPr>
          <w:rFonts w:hint="eastAsia"/>
          <w:b/>
          <w:bCs/>
          <w:sz w:val="30"/>
        </w:rPr>
        <w:t>四、</w:t>
      </w:r>
      <w:r>
        <w:rPr>
          <w:b/>
          <w:bCs/>
          <w:sz w:val="30"/>
        </w:rPr>
        <w:t>后续服务计划</w:t>
      </w:r>
      <w:bookmarkEnd w:id="50"/>
    </w:p>
    <w:p>
      <w:pPr>
        <w:spacing w:after="60"/>
        <w:rPr>
          <w:rFonts w:cs="Arial"/>
        </w:rPr>
      </w:pPr>
    </w:p>
    <w:p>
      <w:pPr>
        <w:spacing w:after="60"/>
        <w:rPr>
          <w:rFonts w:cs="Arial"/>
        </w:rPr>
      </w:pPr>
      <w:r>
        <w:rPr>
          <w:rFonts w:hint="eastAsia" w:cs="Arial"/>
        </w:rPr>
        <w:t>主要内容应包括：</w:t>
      </w:r>
    </w:p>
    <w:p>
      <w:pPr>
        <w:tabs>
          <w:tab w:val="left" w:pos="500"/>
          <w:tab w:val="left" w:pos="1280"/>
        </w:tabs>
        <w:spacing w:after="78" w:afterLines="25"/>
        <w:ind w:left="140"/>
        <w:rPr>
          <w:rFonts w:cs="Arial"/>
        </w:rPr>
      </w:pPr>
      <w:r>
        <w:rPr>
          <w:rFonts w:hint="eastAsia" w:cs="Arial"/>
        </w:rPr>
        <w:t>1.后续服务人员简介；</w:t>
      </w:r>
    </w:p>
    <w:p>
      <w:pPr>
        <w:spacing w:after="60"/>
        <w:rPr>
          <w:rFonts w:cs="Arial"/>
        </w:rPr>
      </w:pPr>
    </w:p>
    <w:p>
      <w:pPr>
        <w:tabs>
          <w:tab w:val="left" w:pos="500"/>
          <w:tab w:val="left" w:pos="1280"/>
        </w:tabs>
        <w:spacing w:after="78" w:afterLines="25" w:line="300" w:lineRule="auto"/>
        <w:ind w:left="140"/>
        <w:rPr>
          <w:rFonts w:cs="Arial"/>
        </w:rPr>
      </w:pPr>
      <w:r>
        <w:rPr>
          <w:rFonts w:hint="eastAsia" w:hAnsi="宋体"/>
          <w:bCs/>
        </w:rPr>
        <w:t>2.技术培训安排；</w:t>
      </w:r>
    </w:p>
    <w:p>
      <w:pPr>
        <w:spacing w:after="60"/>
        <w:rPr>
          <w:rFonts w:cs="Arial"/>
        </w:rPr>
      </w:pPr>
    </w:p>
    <w:p>
      <w:pPr>
        <w:tabs>
          <w:tab w:val="left" w:pos="500"/>
          <w:tab w:val="left" w:pos="1280"/>
        </w:tabs>
        <w:spacing w:after="78" w:afterLines="25" w:line="300" w:lineRule="auto"/>
        <w:ind w:left="140"/>
        <w:rPr>
          <w:rFonts w:cs="Arial"/>
        </w:rPr>
      </w:pPr>
      <w:r>
        <w:rPr>
          <w:rFonts w:hint="eastAsia" w:cs="Arial"/>
        </w:rPr>
        <w:t>3.后续服务</w:t>
      </w:r>
      <w:r>
        <w:rPr>
          <w:rFonts w:hint="eastAsia" w:hAnsi="宋体"/>
          <w:bCs/>
        </w:rPr>
        <w:t>计划；</w:t>
      </w:r>
    </w:p>
    <w:p>
      <w:pPr>
        <w:spacing w:after="60"/>
        <w:rPr>
          <w:rFonts w:cs="Arial"/>
        </w:rPr>
      </w:pPr>
    </w:p>
    <w:p>
      <w:pPr>
        <w:tabs>
          <w:tab w:val="left" w:pos="500"/>
          <w:tab w:val="left" w:pos="1280"/>
        </w:tabs>
        <w:spacing w:after="78" w:afterLines="25" w:line="300" w:lineRule="auto"/>
        <w:ind w:left="140"/>
        <w:rPr>
          <w:rFonts w:cs="Arial"/>
        </w:rPr>
      </w:pPr>
      <w:r>
        <w:rPr>
          <w:rFonts w:hint="eastAsia" w:cs="Arial"/>
        </w:rPr>
        <w:t>4.其它服务承诺。</w:t>
      </w:r>
    </w:p>
    <w:p>
      <w:pPr>
        <w:spacing w:after="60"/>
        <w:rPr>
          <w:rFonts w:cs="Arial"/>
        </w:rPr>
      </w:pPr>
    </w:p>
    <w:p>
      <w:pPr>
        <w:spacing w:after="60"/>
        <w:rPr>
          <w:rFonts w:cs="Arial"/>
        </w:rPr>
      </w:pPr>
    </w:p>
    <w:p>
      <w:pPr>
        <w:spacing w:line="360" w:lineRule="auto"/>
        <w:ind w:firstLine="3150" w:firstLineChars="1500"/>
        <w:jc w:val="left"/>
        <w:rPr>
          <w:szCs w:val="21"/>
        </w:rPr>
      </w:pPr>
      <w:r>
        <w:rPr>
          <w:rFonts w:hint="eastAsia"/>
          <w:szCs w:val="21"/>
        </w:rPr>
        <w:t>法定代表人或其授权委托人（</w:t>
      </w:r>
      <w:r>
        <w:rPr>
          <w:rFonts w:hint="eastAsia"/>
          <w:b/>
          <w:szCs w:val="21"/>
        </w:rPr>
        <w:t>签名</w:t>
      </w:r>
      <w:r>
        <w:rPr>
          <w:rFonts w:hint="eastAsia"/>
          <w:szCs w:val="21"/>
        </w:rPr>
        <w:t>）：</w:t>
      </w:r>
    </w:p>
    <w:p>
      <w:pPr>
        <w:spacing w:line="360" w:lineRule="auto"/>
        <w:ind w:firstLine="3150" w:firstLineChars="1500"/>
        <w:jc w:val="left"/>
        <w:rPr>
          <w:szCs w:val="21"/>
        </w:rPr>
      </w:pPr>
      <w:r>
        <w:rPr>
          <w:rFonts w:hint="eastAsia"/>
          <w:szCs w:val="21"/>
        </w:rPr>
        <w:t>投标单位（</w:t>
      </w:r>
      <w:r>
        <w:rPr>
          <w:rFonts w:hint="eastAsia"/>
          <w:b/>
          <w:szCs w:val="21"/>
        </w:rPr>
        <w:t>盖公章</w:t>
      </w:r>
      <w:r>
        <w:rPr>
          <w:rFonts w:hint="eastAsia"/>
          <w:szCs w:val="21"/>
        </w:rPr>
        <w:t>）：</w:t>
      </w:r>
    </w:p>
    <w:p>
      <w:pPr>
        <w:spacing w:line="360" w:lineRule="auto"/>
        <w:jc w:val="center"/>
        <w:rPr>
          <w:szCs w:val="21"/>
        </w:rPr>
      </w:pPr>
      <w:r>
        <w:rPr>
          <w:rFonts w:hint="eastAsia"/>
          <w:szCs w:val="21"/>
        </w:rPr>
        <w:t xml:space="preserve">               </w:t>
      </w:r>
    </w:p>
    <w:p>
      <w:pPr>
        <w:spacing w:line="360" w:lineRule="auto"/>
        <w:jc w:val="right"/>
        <w:rPr>
          <w:szCs w:val="21"/>
        </w:rPr>
      </w:pPr>
      <w:r>
        <w:rPr>
          <w:rFonts w:hint="eastAsia"/>
          <w:szCs w:val="21"/>
        </w:rPr>
        <w:t xml:space="preserve">   日期：年月日</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jc w:val="center"/>
        <w:outlineLvl w:val="1"/>
        <w:rPr>
          <w:b/>
          <w:bCs/>
          <w:sz w:val="30"/>
        </w:rPr>
      </w:pPr>
      <w:bookmarkStart w:id="51" w:name="_Toc76054657"/>
      <w:r>
        <w:rPr>
          <w:rFonts w:hint="eastAsia"/>
          <w:b/>
          <w:bCs/>
          <w:sz w:val="30"/>
        </w:rPr>
        <w:t>五、单位主营业务介绍</w:t>
      </w:r>
      <w:bookmarkEnd w:id="51"/>
    </w:p>
    <w:p>
      <w:pPr>
        <w:spacing w:after="60"/>
        <w:rPr>
          <w:rFonts w:cs="Arial"/>
        </w:rPr>
      </w:pPr>
    </w:p>
    <w:p>
      <w:pPr>
        <w:spacing w:after="78" w:afterLines="25" w:line="300" w:lineRule="auto"/>
        <w:ind w:left="525"/>
        <w:rPr>
          <w:rFonts w:cs="Arial"/>
        </w:rPr>
      </w:pPr>
      <w:r>
        <w:rPr>
          <w:rFonts w:hint="eastAsia" w:cs="Arial"/>
        </w:rPr>
        <w:t>1.单位简介：</w:t>
      </w:r>
    </w:p>
    <w:p>
      <w:pPr>
        <w:spacing w:after="60"/>
        <w:rPr>
          <w:rFonts w:cs="Arial"/>
        </w:rPr>
      </w:pPr>
    </w:p>
    <w:p>
      <w:pPr>
        <w:spacing w:after="78" w:afterLines="25" w:line="300" w:lineRule="auto"/>
        <w:ind w:left="525"/>
        <w:rPr>
          <w:rFonts w:cs="Arial"/>
        </w:rPr>
      </w:pPr>
      <w:r>
        <w:rPr>
          <w:rFonts w:hint="eastAsia" w:cs="Arial"/>
        </w:rPr>
        <w:t>2.人员状况：</w:t>
      </w:r>
    </w:p>
    <w:p>
      <w:pPr>
        <w:spacing w:after="60"/>
        <w:rPr>
          <w:rFonts w:cs="Arial"/>
        </w:rPr>
      </w:pPr>
    </w:p>
    <w:p>
      <w:pPr>
        <w:spacing w:after="78" w:afterLines="25" w:line="300" w:lineRule="auto"/>
        <w:ind w:left="525"/>
        <w:rPr>
          <w:rFonts w:cs="Arial"/>
        </w:rPr>
      </w:pPr>
      <w:r>
        <w:rPr>
          <w:rFonts w:hint="eastAsia" w:cs="Arial"/>
        </w:rPr>
        <w:t>3.财务状况：</w:t>
      </w:r>
    </w:p>
    <w:p>
      <w:pPr>
        <w:spacing w:after="60"/>
        <w:rPr>
          <w:rFonts w:cs="Arial"/>
        </w:rPr>
      </w:pPr>
    </w:p>
    <w:p>
      <w:pPr>
        <w:spacing w:after="60"/>
        <w:rPr>
          <w:rFonts w:cs="Arial"/>
        </w:rPr>
      </w:pPr>
    </w:p>
    <w:p>
      <w:pPr>
        <w:spacing w:after="60"/>
        <w:rPr>
          <w:rFonts w:cs="Arial"/>
        </w:rPr>
      </w:pPr>
    </w:p>
    <w:p>
      <w:pPr>
        <w:spacing w:after="60"/>
        <w:rPr>
          <w:rFonts w:cs="Arial"/>
        </w:rPr>
      </w:pPr>
    </w:p>
    <w:p>
      <w:pPr>
        <w:spacing w:after="60"/>
        <w:rPr>
          <w:rFonts w:cs="Arial"/>
        </w:rPr>
      </w:pPr>
    </w:p>
    <w:p>
      <w:pPr>
        <w:spacing w:after="60"/>
        <w:rPr>
          <w:rFonts w:cs="Arial"/>
        </w:rPr>
      </w:pPr>
    </w:p>
    <w:p>
      <w:pPr>
        <w:spacing w:after="60"/>
        <w:rPr>
          <w:rFonts w:cs="Arial"/>
        </w:rPr>
      </w:pPr>
    </w:p>
    <w:p>
      <w:pPr>
        <w:spacing w:line="360" w:lineRule="auto"/>
        <w:ind w:firstLine="3150" w:firstLineChars="1500"/>
        <w:jc w:val="left"/>
        <w:rPr>
          <w:szCs w:val="21"/>
        </w:rPr>
      </w:pPr>
      <w:r>
        <w:rPr>
          <w:rFonts w:hint="eastAsia"/>
          <w:szCs w:val="21"/>
        </w:rPr>
        <w:t>法定代表人或其授权委托人（</w:t>
      </w:r>
      <w:r>
        <w:rPr>
          <w:rFonts w:hint="eastAsia"/>
          <w:b/>
          <w:szCs w:val="21"/>
        </w:rPr>
        <w:t>签名</w:t>
      </w:r>
      <w:r>
        <w:rPr>
          <w:rFonts w:hint="eastAsia"/>
          <w:szCs w:val="21"/>
        </w:rPr>
        <w:t>）：</w:t>
      </w:r>
    </w:p>
    <w:p>
      <w:pPr>
        <w:spacing w:line="360" w:lineRule="auto"/>
        <w:ind w:firstLine="3150" w:firstLineChars="1500"/>
        <w:jc w:val="left"/>
        <w:rPr>
          <w:szCs w:val="21"/>
        </w:rPr>
      </w:pPr>
      <w:r>
        <w:rPr>
          <w:rFonts w:hint="eastAsia"/>
          <w:szCs w:val="21"/>
        </w:rPr>
        <w:t>投标单位（</w:t>
      </w:r>
      <w:r>
        <w:rPr>
          <w:rFonts w:hint="eastAsia"/>
          <w:b/>
          <w:szCs w:val="21"/>
        </w:rPr>
        <w:t>盖公章</w:t>
      </w:r>
      <w:r>
        <w:rPr>
          <w:rFonts w:hint="eastAsia"/>
          <w:szCs w:val="21"/>
        </w:rPr>
        <w:t>）：</w:t>
      </w:r>
    </w:p>
    <w:p>
      <w:pPr>
        <w:spacing w:line="360" w:lineRule="auto"/>
        <w:jc w:val="center"/>
        <w:rPr>
          <w:szCs w:val="21"/>
        </w:rPr>
      </w:pPr>
      <w:r>
        <w:rPr>
          <w:rFonts w:hint="eastAsia"/>
          <w:szCs w:val="21"/>
        </w:rPr>
        <w:t xml:space="preserve">               </w:t>
      </w:r>
    </w:p>
    <w:p>
      <w:pPr>
        <w:spacing w:line="360" w:lineRule="auto"/>
        <w:jc w:val="right"/>
        <w:rPr>
          <w:szCs w:val="21"/>
        </w:rPr>
      </w:pPr>
      <w:r>
        <w:rPr>
          <w:rFonts w:hint="eastAsia"/>
          <w:szCs w:val="21"/>
        </w:rPr>
        <w:t xml:space="preserve">   日期：年月日</w:t>
      </w:r>
    </w:p>
    <w:p/>
    <w:p>
      <w:pPr>
        <w:ind w:left="2940"/>
      </w:pPr>
    </w:p>
    <w:p>
      <w:pPr>
        <w:ind w:left="2940"/>
      </w:pPr>
    </w:p>
    <w:p>
      <w:pPr>
        <w:ind w:left="2940"/>
      </w:pPr>
    </w:p>
    <w:p>
      <w:pPr>
        <w:ind w:left="2940"/>
      </w:pPr>
    </w:p>
    <w:p>
      <w:pPr>
        <w:ind w:left="2940"/>
      </w:pPr>
    </w:p>
    <w:p>
      <w:pPr>
        <w:ind w:left="2940"/>
      </w:pPr>
    </w:p>
    <w:p>
      <w:pPr>
        <w:ind w:left="2940"/>
      </w:pPr>
    </w:p>
    <w:p>
      <w:pPr>
        <w:ind w:left="2940"/>
      </w:pPr>
    </w:p>
    <w:p>
      <w:pPr>
        <w:ind w:left="2940"/>
      </w:pPr>
    </w:p>
    <w:p>
      <w:pPr>
        <w:ind w:left="2940"/>
      </w:pPr>
    </w:p>
    <w:p>
      <w:r>
        <w:br w:type="page"/>
      </w:r>
    </w:p>
    <w:p>
      <w:pPr>
        <w:jc w:val="center"/>
        <w:outlineLvl w:val="1"/>
        <w:rPr>
          <w:b/>
          <w:bCs/>
          <w:sz w:val="30"/>
        </w:rPr>
      </w:pPr>
      <w:bookmarkStart w:id="52" w:name="_Toc76054658"/>
      <w:r>
        <w:rPr>
          <w:rFonts w:hint="eastAsia"/>
          <w:b/>
          <w:bCs/>
          <w:sz w:val="30"/>
        </w:rPr>
        <w:t>六、同类项目主要业绩一览表</w:t>
      </w:r>
      <w:bookmarkEnd w:id="52"/>
    </w:p>
    <w:p>
      <w:pPr>
        <w:spacing w:after="60"/>
        <w:rPr>
          <w:rFonts w:ascii="宋体" w:hAnsi="宋体" w:cs="Arial"/>
          <w:szCs w:val="21"/>
        </w:rPr>
      </w:pPr>
      <w:r>
        <w:rPr>
          <w:rFonts w:hint="eastAsia" w:ascii="宋体" w:hAnsi="宋体" w:cs="Arial"/>
          <w:szCs w:val="21"/>
        </w:rPr>
        <w:t>投标人名称__________________</w:t>
      </w:r>
    </w:p>
    <w:p>
      <w:pPr>
        <w:spacing w:after="60"/>
        <w:rPr>
          <w:rFonts w:ascii="宋体" w:hAnsi="宋体" w:cs="Arial"/>
          <w:szCs w:val="21"/>
        </w:rPr>
      </w:pPr>
      <w:r>
        <w:rPr>
          <w:rFonts w:hint="eastAsia" w:ascii="宋体" w:hAnsi="宋体" w:cs="Arial"/>
          <w:szCs w:val="21"/>
        </w:rPr>
        <w:t>招标编号____________________</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347"/>
        <w:gridCol w:w="1197"/>
        <w:gridCol w:w="1134"/>
        <w:gridCol w:w="1701"/>
        <w:gridCol w:w="12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98" w:type="dxa"/>
            <w:vAlign w:val="center"/>
          </w:tcPr>
          <w:p>
            <w:pPr>
              <w:spacing w:after="60"/>
              <w:jc w:val="center"/>
              <w:rPr>
                <w:rFonts w:ascii="宋体" w:hAnsi="宋体"/>
                <w:szCs w:val="21"/>
              </w:rPr>
            </w:pPr>
            <w:r>
              <w:rPr>
                <w:rFonts w:hint="eastAsia" w:ascii="宋体" w:hAnsi="宋体"/>
                <w:szCs w:val="21"/>
              </w:rPr>
              <w:t>序号</w:t>
            </w:r>
          </w:p>
        </w:tc>
        <w:tc>
          <w:tcPr>
            <w:tcW w:w="2347" w:type="dxa"/>
            <w:vAlign w:val="center"/>
          </w:tcPr>
          <w:p>
            <w:pPr>
              <w:spacing w:after="60"/>
              <w:jc w:val="center"/>
              <w:rPr>
                <w:rFonts w:ascii="宋体" w:hAnsi="宋体"/>
                <w:szCs w:val="21"/>
              </w:rPr>
            </w:pPr>
            <w:r>
              <w:rPr>
                <w:rFonts w:hint="eastAsia" w:ascii="宋体" w:hAnsi="宋体"/>
                <w:szCs w:val="21"/>
              </w:rPr>
              <w:t>项目名称</w:t>
            </w:r>
          </w:p>
        </w:tc>
        <w:tc>
          <w:tcPr>
            <w:tcW w:w="1197" w:type="dxa"/>
            <w:vAlign w:val="center"/>
          </w:tcPr>
          <w:p>
            <w:pPr>
              <w:spacing w:after="60"/>
              <w:jc w:val="center"/>
              <w:rPr>
                <w:rFonts w:ascii="宋体" w:hAnsi="宋体"/>
                <w:szCs w:val="21"/>
              </w:rPr>
            </w:pPr>
            <w:r>
              <w:rPr>
                <w:rFonts w:hint="eastAsia" w:ascii="宋体" w:hAnsi="宋体"/>
                <w:szCs w:val="21"/>
              </w:rPr>
              <w:t>项目单位</w:t>
            </w:r>
          </w:p>
        </w:tc>
        <w:tc>
          <w:tcPr>
            <w:tcW w:w="1134" w:type="dxa"/>
            <w:vAlign w:val="center"/>
          </w:tcPr>
          <w:p>
            <w:pPr>
              <w:spacing w:after="60"/>
              <w:jc w:val="center"/>
              <w:rPr>
                <w:rFonts w:ascii="宋体" w:hAnsi="宋体"/>
                <w:szCs w:val="21"/>
              </w:rPr>
            </w:pPr>
            <w:r>
              <w:rPr>
                <w:rFonts w:hint="eastAsia" w:ascii="宋体" w:hAnsi="宋体"/>
                <w:szCs w:val="21"/>
              </w:rPr>
              <w:t>实施时间</w:t>
            </w:r>
          </w:p>
        </w:tc>
        <w:tc>
          <w:tcPr>
            <w:tcW w:w="1701" w:type="dxa"/>
            <w:vAlign w:val="center"/>
          </w:tcPr>
          <w:p>
            <w:pPr>
              <w:spacing w:after="60"/>
              <w:jc w:val="center"/>
              <w:rPr>
                <w:rFonts w:ascii="宋体" w:hAnsi="宋体"/>
                <w:szCs w:val="21"/>
              </w:rPr>
            </w:pPr>
            <w:r>
              <w:rPr>
                <w:rFonts w:hint="eastAsia" w:ascii="宋体" w:hAnsi="宋体"/>
                <w:szCs w:val="21"/>
              </w:rPr>
              <w:t>规模（金额）</w:t>
            </w:r>
          </w:p>
        </w:tc>
        <w:tc>
          <w:tcPr>
            <w:tcW w:w="1206" w:type="dxa"/>
            <w:vAlign w:val="center"/>
          </w:tcPr>
          <w:p>
            <w:pPr>
              <w:spacing w:after="60"/>
              <w:jc w:val="center"/>
              <w:rPr>
                <w:rFonts w:ascii="宋体" w:hAnsi="宋体"/>
                <w:szCs w:val="21"/>
              </w:rPr>
            </w:pPr>
            <w:r>
              <w:rPr>
                <w:rFonts w:hint="eastAsia" w:ascii="宋体" w:hAnsi="宋体"/>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98" w:type="dxa"/>
          </w:tcPr>
          <w:p>
            <w:pPr>
              <w:spacing w:after="60"/>
              <w:rPr>
                <w:rFonts w:ascii="宋体" w:hAnsi="宋体"/>
                <w:szCs w:val="21"/>
              </w:rPr>
            </w:pPr>
          </w:p>
        </w:tc>
        <w:tc>
          <w:tcPr>
            <w:tcW w:w="2347" w:type="dxa"/>
          </w:tcPr>
          <w:p>
            <w:pPr>
              <w:spacing w:after="60"/>
              <w:rPr>
                <w:rFonts w:ascii="宋体" w:hAnsi="宋体"/>
                <w:szCs w:val="21"/>
              </w:rPr>
            </w:pPr>
          </w:p>
        </w:tc>
        <w:tc>
          <w:tcPr>
            <w:tcW w:w="1197" w:type="dxa"/>
          </w:tcPr>
          <w:p>
            <w:pPr>
              <w:spacing w:after="60"/>
              <w:rPr>
                <w:rFonts w:ascii="宋体" w:hAnsi="宋体"/>
                <w:szCs w:val="21"/>
              </w:rPr>
            </w:pPr>
          </w:p>
        </w:tc>
        <w:tc>
          <w:tcPr>
            <w:tcW w:w="1134" w:type="dxa"/>
          </w:tcPr>
          <w:p>
            <w:pPr>
              <w:spacing w:after="60"/>
              <w:rPr>
                <w:rFonts w:ascii="宋体" w:hAnsi="宋体"/>
                <w:szCs w:val="21"/>
              </w:rPr>
            </w:pPr>
          </w:p>
        </w:tc>
        <w:tc>
          <w:tcPr>
            <w:tcW w:w="1701" w:type="dxa"/>
          </w:tcPr>
          <w:p>
            <w:pPr>
              <w:spacing w:after="60"/>
              <w:rPr>
                <w:rFonts w:ascii="宋体" w:hAnsi="宋体"/>
                <w:szCs w:val="21"/>
              </w:rPr>
            </w:pPr>
          </w:p>
        </w:tc>
        <w:tc>
          <w:tcPr>
            <w:tcW w:w="120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98" w:type="dxa"/>
          </w:tcPr>
          <w:p>
            <w:pPr>
              <w:spacing w:after="60"/>
              <w:rPr>
                <w:rFonts w:ascii="宋体" w:hAnsi="宋体"/>
                <w:szCs w:val="21"/>
              </w:rPr>
            </w:pPr>
          </w:p>
        </w:tc>
        <w:tc>
          <w:tcPr>
            <w:tcW w:w="2347" w:type="dxa"/>
          </w:tcPr>
          <w:p>
            <w:pPr>
              <w:spacing w:after="60"/>
              <w:rPr>
                <w:rFonts w:ascii="宋体" w:hAnsi="宋体"/>
                <w:szCs w:val="21"/>
              </w:rPr>
            </w:pPr>
          </w:p>
        </w:tc>
        <w:tc>
          <w:tcPr>
            <w:tcW w:w="1197" w:type="dxa"/>
          </w:tcPr>
          <w:p>
            <w:pPr>
              <w:spacing w:after="60"/>
              <w:rPr>
                <w:rFonts w:ascii="宋体" w:hAnsi="宋体"/>
                <w:szCs w:val="21"/>
              </w:rPr>
            </w:pPr>
          </w:p>
        </w:tc>
        <w:tc>
          <w:tcPr>
            <w:tcW w:w="1134" w:type="dxa"/>
          </w:tcPr>
          <w:p>
            <w:pPr>
              <w:spacing w:after="60"/>
              <w:rPr>
                <w:rFonts w:ascii="宋体" w:hAnsi="宋体"/>
                <w:szCs w:val="21"/>
              </w:rPr>
            </w:pPr>
          </w:p>
        </w:tc>
        <w:tc>
          <w:tcPr>
            <w:tcW w:w="1701" w:type="dxa"/>
          </w:tcPr>
          <w:p>
            <w:pPr>
              <w:spacing w:after="60"/>
              <w:rPr>
                <w:rFonts w:ascii="宋体" w:hAnsi="宋体"/>
                <w:szCs w:val="21"/>
              </w:rPr>
            </w:pPr>
          </w:p>
        </w:tc>
        <w:tc>
          <w:tcPr>
            <w:tcW w:w="120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98" w:type="dxa"/>
          </w:tcPr>
          <w:p>
            <w:pPr>
              <w:spacing w:after="60"/>
              <w:rPr>
                <w:rFonts w:ascii="宋体" w:hAnsi="宋体"/>
                <w:szCs w:val="21"/>
              </w:rPr>
            </w:pPr>
          </w:p>
        </w:tc>
        <w:tc>
          <w:tcPr>
            <w:tcW w:w="2347" w:type="dxa"/>
          </w:tcPr>
          <w:p>
            <w:pPr>
              <w:spacing w:after="60"/>
              <w:rPr>
                <w:rFonts w:ascii="宋体" w:hAnsi="宋体"/>
                <w:szCs w:val="21"/>
              </w:rPr>
            </w:pPr>
          </w:p>
        </w:tc>
        <w:tc>
          <w:tcPr>
            <w:tcW w:w="1197" w:type="dxa"/>
          </w:tcPr>
          <w:p>
            <w:pPr>
              <w:spacing w:after="60"/>
              <w:rPr>
                <w:rFonts w:ascii="宋体" w:hAnsi="宋体"/>
                <w:szCs w:val="21"/>
              </w:rPr>
            </w:pPr>
          </w:p>
        </w:tc>
        <w:tc>
          <w:tcPr>
            <w:tcW w:w="1134" w:type="dxa"/>
          </w:tcPr>
          <w:p>
            <w:pPr>
              <w:spacing w:after="60"/>
              <w:rPr>
                <w:rFonts w:ascii="宋体" w:hAnsi="宋体"/>
                <w:szCs w:val="21"/>
              </w:rPr>
            </w:pPr>
          </w:p>
        </w:tc>
        <w:tc>
          <w:tcPr>
            <w:tcW w:w="1701" w:type="dxa"/>
          </w:tcPr>
          <w:p>
            <w:pPr>
              <w:spacing w:after="60"/>
              <w:rPr>
                <w:rFonts w:ascii="宋体" w:hAnsi="宋体"/>
                <w:szCs w:val="21"/>
              </w:rPr>
            </w:pPr>
          </w:p>
        </w:tc>
        <w:tc>
          <w:tcPr>
            <w:tcW w:w="120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98" w:type="dxa"/>
          </w:tcPr>
          <w:p>
            <w:pPr>
              <w:spacing w:after="60"/>
              <w:rPr>
                <w:rFonts w:ascii="宋体" w:hAnsi="宋体"/>
                <w:szCs w:val="21"/>
              </w:rPr>
            </w:pPr>
          </w:p>
        </w:tc>
        <w:tc>
          <w:tcPr>
            <w:tcW w:w="2347" w:type="dxa"/>
          </w:tcPr>
          <w:p>
            <w:pPr>
              <w:spacing w:after="60"/>
              <w:rPr>
                <w:rFonts w:ascii="宋体" w:hAnsi="宋体"/>
                <w:szCs w:val="21"/>
              </w:rPr>
            </w:pPr>
          </w:p>
        </w:tc>
        <w:tc>
          <w:tcPr>
            <w:tcW w:w="1197" w:type="dxa"/>
          </w:tcPr>
          <w:p>
            <w:pPr>
              <w:spacing w:after="60"/>
              <w:rPr>
                <w:rFonts w:ascii="宋体" w:hAnsi="宋体"/>
                <w:szCs w:val="21"/>
              </w:rPr>
            </w:pPr>
          </w:p>
        </w:tc>
        <w:tc>
          <w:tcPr>
            <w:tcW w:w="1134" w:type="dxa"/>
          </w:tcPr>
          <w:p>
            <w:pPr>
              <w:spacing w:after="60"/>
              <w:rPr>
                <w:rFonts w:ascii="宋体" w:hAnsi="宋体"/>
                <w:szCs w:val="21"/>
              </w:rPr>
            </w:pPr>
          </w:p>
        </w:tc>
        <w:tc>
          <w:tcPr>
            <w:tcW w:w="1701" w:type="dxa"/>
          </w:tcPr>
          <w:p>
            <w:pPr>
              <w:spacing w:after="60"/>
              <w:rPr>
                <w:rFonts w:ascii="宋体" w:hAnsi="宋体"/>
                <w:szCs w:val="21"/>
              </w:rPr>
            </w:pPr>
          </w:p>
        </w:tc>
        <w:tc>
          <w:tcPr>
            <w:tcW w:w="120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98" w:type="dxa"/>
          </w:tcPr>
          <w:p>
            <w:pPr>
              <w:spacing w:after="60"/>
              <w:rPr>
                <w:rFonts w:ascii="宋体" w:hAnsi="宋体"/>
                <w:szCs w:val="21"/>
              </w:rPr>
            </w:pPr>
          </w:p>
        </w:tc>
        <w:tc>
          <w:tcPr>
            <w:tcW w:w="2347" w:type="dxa"/>
          </w:tcPr>
          <w:p>
            <w:pPr>
              <w:spacing w:after="60"/>
              <w:rPr>
                <w:rFonts w:ascii="宋体" w:hAnsi="宋体"/>
                <w:szCs w:val="21"/>
              </w:rPr>
            </w:pPr>
          </w:p>
        </w:tc>
        <w:tc>
          <w:tcPr>
            <w:tcW w:w="1197" w:type="dxa"/>
          </w:tcPr>
          <w:p>
            <w:pPr>
              <w:spacing w:after="60"/>
              <w:rPr>
                <w:rFonts w:ascii="宋体" w:hAnsi="宋体"/>
                <w:szCs w:val="21"/>
              </w:rPr>
            </w:pPr>
          </w:p>
        </w:tc>
        <w:tc>
          <w:tcPr>
            <w:tcW w:w="1134" w:type="dxa"/>
          </w:tcPr>
          <w:p>
            <w:pPr>
              <w:spacing w:after="60"/>
              <w:rPr>
                <w:rFonts w:ascii="宋体" w:hAnsi="宋体"/>
                <w:szCs w:val="21"/>
              </w:rPr>
            </w:pPr>
          </w:p>
        </w:tc>
        <w:tc>
          <w:tcPr>
            <w:tcW w:w="1701" w:type="dxa"/>
          </w:tcPr>
          <w:p>
            <w:pPr>
              <w:spacing w:after="60"/>
              <w:rPr>
                <w:rFonts w:ascii="宋体" w:hAnsi="宋体"/>
                <w:szCs w:val="21"/>
              </w:rPr>
            </w:pPr>
          </w:p>
        </w:tc>
        <w:tc>
          <w:tcPr>
            <w:tcW w:w="120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98" w:type="dxa"/>
          </w:tcPr>
          <w:p>
            <w:pPr>
              <w:spacing w:after="60"/>
              <w:rPr>
                <w:rFonts w:ascii="宋体" w:hAnsi="宋体"/>
                <w:szCs w:val="21"/>
              </w:rPr>
            </w:pPr>
          </w:p>
        </w:tc>
        <w:tc>
          <w:tcPr>
            <w:tcW w:w="2347" w:type="dxa"/>
          </w:tcPr>
          <w:p>
            <w:pPr>
              <w:spacing w:after="60"/>
              <w:rPr>
                <w:rFonts w:ascii="宋体" w:hAnsi="宋体"/>
                <w:szCs w:val="21"/>
              </w:rPr>
            </w:pPr>
          </w:p>
        </w:tc>
        <w:tc>
          <w:tcPr>
            <w:tcW w:w="1197" w:type="dxa"/>
          </w:tcPr>
          <w:p>
            <w:pPr>
              <w:spacing w:after="60"/>
              <w:rPr>
                <w:rFonts w:ascii="宋体" w:hAnsi="宋体"/>
                <w:szCs w:val="21"/>
              </w:rPr>
            </w:pPr>
          </w:p>
        </w:tc>
        <w:tc>
          <w:tcPr>
            <w:tcW w:w="1134" w:type="dxa"/>
          </w:tcPr>
          <w:p>
            <w:pPr>
              <w:spacing w:after="60"/>
              <w:rPr>
                <w:rFonts w:ascii="宋体" w:hAnsi="宋体"/>
                <w:szCs w:val="21"/>
              </w:rPr>
            </w:pPr>
          </w:p>
        </w:tc>
        <w:tc>
          <w:tcPr>
            <w:tcW w:w="1701" w:type="dxa"/>
          </w:tcPr>
          <w:p>
            <w:pPr>
              <w:spacing w:after="60"/>
              <w:rPr>
                <w:rFonts w:ascii="宋体" w:hAnsi="宋体"/>
                <w:szCs w:val="21"/>
              </w:rPr>
            </w:pPr>
          </w:p>
        </w:tc>
        <w:tc>
          <w:tcPr>
            <w:tcW w:w="120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98" w:type="dxa"/>
          </w:tcPr>
          <w:p>
            <w:pPr>
              <w:spacing w:after="60"/>
              <w:rPr>
                <w:rFonts w:ascii="宋体" w:hAnsi="宋体"/>
                <w:szCs w:val="21"/>
              </w:rPr>
            </w:pPr>
          </w:p>
        </w:tc>
        <w:tc>
          <w:tcPr>
            <w:tcW w:w="2347" w:type="dxa"/>
          </w:tcPr>
          <w:p>
            <w:pPr>
              <w:spacing w:after="60"/>
              <w:rPr>
                <w:rFonts w:ascii="宋体" w:hAnsi="宋体"/>
                <w:szCs w:val="21"/>
              </w:rPr>
            </w:pPr>
          </w:p>
        </w:tc>
        <w:tc>
          <w:tcPr>
            <w:tcW w:w="1197" w:type="dxa"/>
          </w:tcPr>
          <w:p>
            <w:pPr>
              <w:spacing w:after="60"/>
              <w:rPr>
                <w:rFonts w:ascii="宋体" w:hAnsi="宋体"/>
                <w:szCs w:val="21"/>
              </w:rPr>
            </w:pPr>
          </w:p>
        </w:tc>
        <w:tc>
          <w:tcPr>
            <w:tcW w:w="1134" w:type="dxa"/>
          </w:tcPr>
          <w:p>
            <w:pPr>
              <w:spacing w:after="60"/>
              <w:rPr>
                <w:rFonts w:ascii="宋体" w:hAnsi="宋体"/>
                <w:szCs w:val="21"/>
              </w:rPr>
            </w:pPr>
          </w:p>
        </w:tc>
        <w:tc>
          <w:tcPr>
            <w:tcW w:w="1701" w:type="dxa"/>
          </w:tcPr>
          <w:p>
            <w:pPr>
              <w:spacing w:after="60"/>
              <w:rPr>
                <w:rFonts w:ascii="宋体" w:hAnsi="宋体"/>
                <w:szCs w:val="21"/>
              </w:rPr>
            </w:pPr>
          </w:p>
        </w:tc>
        <w:tc>
          <w:tcPr>
            <w:tcW w:w="120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98" w:type="dxa"/>
          </w:tcPr>
          <w:p>
            <w:pPr>
              <w:spacing w:after="60"/>
              <w:rPr>
                <w:rFonts w:ascii="宋体" w:hAnsi="宋体"/>
                <w:szCs w:val="21"/>
              </w:rPr>
            </w:pPr>
          </w:p>
        </w:tc>
        <w:tc>
          <w:tcPr>
            <w:tcW w:w="2347" w:type="dxa"/>
          </w:tcPr>
          <w:p>
            <w:pPr>
              <w:spacing w:after="60"/>
              <w:rPr>
                <w:rFonts w:ascii="宋体" w:hAnsi="宋体"/>
                <w:szCs w:val="21"/>
              </w:rPr>
            </w:pPr>
          </w:p>
        </w:tc>
        <w:tc>
          <w:tcPr>
            <w:tcW w:w="1197" w:type="dxa"/>
          </w:tcPr>
          <w:p>
            <w:pPr>
              <w:spacing w:after="60"/>
              <w:rPr>
                <w:rFonts w:ascii="宋体" w:hAnsi="宋体"/>
                <w:szCs w:val="21"/>
              </w:rPr>
            </w:pPr>
          </w:p>
        </w:tc>
        <w:tc>
          <w:tcPr>
            <w:tcW w:w="1134" w:type="dxa"/>
          </w:tcPr>
          <w:p>
            <w:pPr>
              <w:spacing w:after="60"/>
              <w:rPr>
                <w:rFonts w:ascii="宋体" w:hAnsi="宋体"/>
                <w:szCs w:val="21"/>
              </w:rPr>
            </w:pPr>
          </w:p>
        </w:tc>
        <w:tc>
          <w:tcPr>
            <w:tcW w:w="1701" w:type="dxa"/>
          </w:tcPr>
          <w:p>
            <w:pPr>
              <w:spacing w:after="60"/>
              <w:rPr>
                <w:rFonts w:ascii="宋体" w:hAnsi="宋体"/>
                <w:szCs w:val="21"/>
              </w:rPr>
            </w:pPr>
          </w:p>
        </w:tc>
        <w:tc>
          <w:tcPr>
            <w:tcW w:w="120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98" w:type="dxa"/>
          </w:tcPr>
          <w:p>
            <w:pPr>
              <w:spacing w:after="60"/>
              <w:rPr>
                <w:rFonts w:ascii="宋体" w:hAnsi="宋体"/>
                <w:szCs w:val="21"/>
              </w:rPr>
            </w:pPr>
          </w:p>
        </w:tc>
        <w:tc>
          <w:tcPr>
            <w:tcW w:w="2347" w:type="dxa"/>
          </w:tcPr>
          <w:p>
            <w:pPr>
              <w:spacing w:after="60"/>
              <w:rPr>
                <w:rFonts w:ascii="宋体" w:hAnsi="宋体"/>
                <w:szCs w:val="21"/>
              </w:rPr>
            </w:pPr>
          </w:p>
        </w:tc>
        <w:tc>
          <w:tcPr>
            <w:tcW w:w="1197" w:type="dxa"/>
          </w:tcPr>
          <w:p>
            <w:pPr>
              <w:spacing w:after="60"/>
              <w:rPr>
                <w:rFonts w:ascii="宋体" w:hAnsi="宋体"/>
                <w:szCs w:val="21"/>
              </w:rPr>
            </w:pPr>
          </w:p>
        </w:tc>
        <w:tc>
          <w:tcPr>
            <w:tcW w:w="1134" w:type="dxa"/>
          </w:tcPr>
          <w:p>
            <w:pPr>
              <w:spacing w:after="60"/>
              <w:rPr>
                <w:rFonts w:ascii="宋体" w:hAnsi="宋体"/>
                <w:szCs w:val="21"/>
              </w:rPr>
            </w:pPr>
          </w:p>
        </w:tc>
        <w:tc>
          <w:tcPr>
            <w:tcW w:w="1701" w:type="dxa"/>
          </w:tcPr>
          <w:p>
            <w:pPr>
              <w:spacing w:after="60"/>
              <w:rPr>
                <w:rFonts w:ascii="宋体" w:hAnsi="宋体"/>
                <w:szCs w:val="21"/>
              </w:rPr>
            </w:pPr>
          </w:p>
        </w:tc>
        <w:tc>
          <w:tcPr>
            <w:tcW w:w="120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98" w:type="dxa"/>
          </w:tcPr>
          <w:p>
            <w:pPr>
              <w:spacing w:after="60"/>
              <w:rPr>
                <w:rFonts w:ascii="宋体" w:hAnsi="宋体"/>
                <w:szCs w:val="21"/>
              </w:rPr>
            </w:pPr>
          </w:p>
        </w:tc>
        <w:tc>
          <w:tcPr>
            <w:tcW w:w="2347" w:type="dxa"/>
          </w:tcPr>
          <w:p>
            <w:pPr>
              <w:spacing w:after="60"/>
              <w:rPr>
                <w:rFonts w:ascii="宋体" w:hAnsi="宋体"/>
                <w:szCs w:val="21"/>
              </w:rPr>
            </w:pPr>
          </w:p>
        </w:tc>
        <w:tc>
          <w:tcPr>
            <w:tcW w:w="1197" w:type="dxa"/>
          </w:tcPr>
          <w:p>
            <w:pPr>
              <w:spacing w:after="60"/>
              <w:rPr>
                <w:rFonts w:ascii="宋体" w:hAnsi="宋体"/>
                <w:szCs w:val="21"/>
              </w:rPr>
            </w:pPr>
          </w:p>
        </w:tc>
        <w:tc>
          <w:tcPr>
            <w:tcW w:w="1134" w:type="dxa"/>
          </w:tcPr>
          <w:p>
            <w:pPr>
              <w:spacing w:after="60"/>
              <w:rPr>
                <w:rFonts w:ascii="宋体" w:hAnsi="宋体"/>
                <w:szCs w:val="21"/>
              </w:rPr>
            </w:pPr>
          </w:p>
        </w:tc>
        <w:tc>
          <w:tcPr>
            <w:tcW w:w="1701" w:type="dxa"/>
          </w:tcPr>
          <w:p>
            <w:pPr>
              <w:spacing w:after="60"/>
              <w:rPr>
                <w:rFonts w:ascii="宋体" w:hAnsi="宋体"/>
                <w:szCs w:val="21"/>
              </w:rPr>
            </w:pPr>
          </w:p>
        </w:tc>
        <w:tc>
          <w:tcPr>
            <w:tcW w:w="1206" w:type="dxa"/>
          </w:tcPr>
          <w:p>
            <w:pPr>
              <w:spacing w:after="60"/>
              <w:rPr>
                <w:rFonts w:ascii="宋体" w:hAnsi="宋体"/>
                <w:szCs w:val="21"/>
              </w:rPr>
            </w:pPr>
          </w:p>
        </w:tc>
      </w:tr>
    </w:tbl>
    <w:p>
      <w:pPr>
        <w:spacing w:before="156" w:after="156"/>
        <w:jc w:val="left"/>
      </w:pPr>
      <w:bookmarkStart w:id="53" w:name="_Toc39071643"/>
      <w:r>
        <w:rPr>
          <w:rFonts w:hint="eastAsia"/>
        </w:rPr>
        <w:t>注：提供合同关键页（或中标通知书）复印件，加盖投标人公章，原件备查。</w:t>
      </w:r>
      <w:bookmarkEnd w:id="53"/>
    </w:p>
    <w:p>
      <w:pPr>
        <w:spacing w:after="60"/>
      </w:pPr>
    </w:p>
    <w:p>
      <w:pPr>
        <w:spacing w:line="360" w:lineRule="auto"/>
        <w:ind w:firstLine="3150" w:firstLineChars="1500"/>
        <w:jc w:val="left"/>
        <w:rPr>
          <w:szCs w:val="21"/>
        </w:rPr>
      </w:pPr>
      <w:r>
        <w:rPr>
          <w:rFonts w:hint="eastAsia"/>
          <w:szCs w:val="21"/>
        </w:rPr>
        <w:t>法定代表人或其授权委托人（</w:t>
      </w:r>
      <w:r>
        <w:rPr>
          <w:rFonts w:hint="eastAsia"/>
          <w:b/>
          <w:szCs w:val="21"/>
        </w:rPr>
        <w:t>签名</w:t>
      </w:r>
      <w:r>
        <w:rPr>
          <w:rFonts w:hint="eastAsia"/>
          <w:szCs w:val="21"/>
        </w:rPr>
        <w:t>）：</w:t>
      </w:r>
    </w:p>
    <w:p>
      <w:pPr>
        <w:spacing w:line="360" w:lineRule="auto"/>
        <w:ind w:firstLine="3150" w:firstLineChars="1500"/>
        <w:jc w:val="left"/>
        <w:rPr>
          <w:szCs w:val="21"/>
        </w:rPr>
      </w:pPr>
      <w:r>
        <w:rPr>
          <w:rFonts w:hint="eastAsia"/>
          <w:szCs w:val="21"/>
        </w:rPr>
        <w:t>投标单位（</w:t>
      </w:r>
      <w:r>
        <w:rPr>
          <w:rFonts w:hint="eastAsia"/>
          <w:b/>
          <w:szCs w:val="21"/>
        </w:rPr>
        <w:t>盖公章</w:t>
      </w:r>
      <w:r>
        <w:rPr>
          <w:rFonts w:hint="eastAsia"/>
          <w:szCs w:val="21"/>
        </w:rPr>
        <w:t>）：</w:t>
      </w:r>
    </w:p>
    <w:p>
      <w:pPr>
        <w:spacing w:line="360" w:lineRule="auto"/>
        <w:jc w:val="center"/>
        <w:rPr>
          <w:szCs w:val="21"/>
        </w:rPr>
      </w:pPr>
      <w:r>
        <w:rPr>
          <w:rFonts w:hint="eastAsia"/>
          <w:szCs w:val="21"/>
        </w:rPr>
        <w:t xml:space="preserve">               </w:t>
      </w:r>
    </w:p>
    <w:p>
      <w:pPr>
        <w:spacing w:line="360" w:lineRule="auto"/>
        <w:jc w:val="right"/>
        <w:rPr>
          <w:szCs w:val="21"/>
        </w:rPr>
      </w:pPr>
      <w:r>
        <w:rPr>
          <w:rFonts w:hint="eastAsia"/>
          <w:szCs w:val="21"/>
        </w:rPr>
        <w:t xml:space="preserve">   日期：年月日</w:t>
      </w:r>
    </w:p>
    <w:p/>
    <w:p/>
    <w:p/>
    <w:p/>
    <w:p/>
    <w:p/>
    <w:p>
      <w:pPr>
        <w:jc w:val="left"/>
        <w:rPr>
          <w:sz w:val="24"/>
        </w:rPr>
      </w:pPr>
    </w:p>
    <w:p>
      <w:pPr>
        <w:rPr>
          <w:b/>
          <w:bCs/>
          <w:sz w:val="30"/>
        </w:rPr>
      </w:pPr>
      <w:r>
        <w:rPr>
          <w:rFonts w:hint="eastAsia"/>
          <w:b/>
          <w:bCs/>
          <w:sz w:val="30"/>
        </w:rPr>
        <w:br w:type="page"/>
      </w:r>
    </w:p>
    <w:p>
      <w:pPr>
        <w:jc w:val="center"/>
        <w:outlineLvl w:val="1"/>
        <w:rPr>
          <w:b/>
          <w:bCs/>
          <w:sz w:val="30"/>
        </w:rPr>
      </w:pPr>
      <w:bookmarkStart w:id="54" w:name="_Toc76054659"/>
      <w:r>
        <w:rPr>
          <w:rFonts w:hint="eastAsia"/>
          <w:b/>
          <w:bCs/>
          <w:sz w:val="30"/>
        </w:rPr>
        <w:t>七、项目负责人和团队人员情况表</w:t>
      </w:r>
      <w:bookmarkEnd w:id="54"/>
    </w:p>
    <w:p>
      <w:pPr>
        <w:spacing w:after="60"/>
        <w:rPr>
          <w:rFonts w:ascii="宋体" w:hAnsi="宋体" w:cs="Arial"/>
          <w:szCs w:val="21"/>
        </w:rPr>
      </w:pPr>
      <w:r>
        <w:rPr>
          <w:rFonts w:hint="eastAsia" w:ascii="宋体" w:hAnsi="宋体" w:cs="Arial"/>
          <w:szCs w:val="21"/>
        </w:rPr>
        <w:t>投标人名称__________________</w:t>
      </w:r>
    </w:p>
    <w:p>
      <w:pPr>
        <w:spacing w:after="60"/>
        <w:rPr>
          <w:rFonts w:ascii="宋体" w:hAnsi="宋体" w:cs="Arial"/>
          <w:szCs w:val="21"/>
        </w:rPr>
      </w:pPr>
      <w:r>
        <w:rPr>
          <w:rFonts w:hint="eastAsia" w:ascii="宋体" w:hAnsi="宋体" w:cs="Arial"/>
          <w:szCs w:val="21"/>
        </w:rPr>
        <w:t>招标编号____________________</w:t>
      </w:r>
    </w:p>
    <w:p>
      <w:pPr>
        <w:spacing w:before="156" w:after="156"/>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8"/>
        <w:gridCol w:w="1800"/>
        <w:gridCol w:w="1260"/>
        <w:gridCol w:w="39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18" w:type="dxa"/>
            <w:vAlign w:val="center"/>
          </w:tcPr>
          <w:p>
            <w:pPr>
              <w:spacing w:after="60"/>
              <w:jc w:val="center"/>
              <w:rPr>
                <w:rFonts w:ascii="宋体" w:hAnsi="宋体"/>
                <w:b/>
                <w:bCs/>
                <w:szCs w:val="21"/>
              </w:rPr>
            </w:pPr>
            <w:r>
              <w:rPr>
                <w:rFonts w:hint="eastAsia" w:ascii="宋体" w:hAnsi="宋体"/>
                <w:b/>
                <w:bCs/>
                <w:szCs w:val="21"/>
              </w:rPr>
              <w:t>姓名</w:t>
            </w:r>
          </w:p>
        </w:tc>
        <w:tc>
          <w:tcPr>
            <w:tcW w:w="1800" w:type="dxa"/>
            <w:vAlign w:val="center"/>
          </w:tcPr>
          <w:p>
            <w:pPr>
              <w:spacing w:after="60"/>
              <w:jc w:val="center"/>
              <w:rPr>
                <w:rFonts w:ascii="宋体" w:hAnsi="宋体"/>
                <w:b/>
                <w:bCs/>
                <w:szCs w:val="21"/>
              </w:rPr>
            </w:pPr>
            <w:r>
              <w:rPr>
                <w:rFonts w:hint="eastAsia" w:ascii="宋体" w:hAnsi="宋体"/>
                <w:b/>
                <w:bCs/>
                <w:szCs w:val="21"/>
              </w:rPr>
              <w:t>部门和职务</w:t>
            </w:r>
          </w:p>
        </w:tc>
        <w:tc>
          <w:tcPr>
            <w:tcW w:w="1260" w:type="dxa"/>
            <w:vAlign w:val="center"/>
          </w:tcPr>
          <w:p>
            <w:pPr>
              <w:tabs>
                <w:tab w:val="center" w:pos="522"/>
              </w:tabs>
              <w:spacing w:after="60"/>
              <w:jc w:val="center"/>
              <w:rPr>
                <w:rFonts w:ascii="宋体" w:hAnsi="宋体"/>
                <w:b/>
                <w:bCs/>
                <w:szCs w:val="21"/>
              </w:rPr>
            </w:pPr>
            <w:r>
              <w:rPr>
                <w:rFonts w:hint="eastAsia" w:ascii="宋体" w:hAnsi="宋体"/>
                <w:b/>
                <w:bCs/>
                <w:szCs w:val="21"/>
              </w:rPr>
              <w:t>职称</w:t>
            </w:r>
          </w:p>
        </w:tc>
        <w:tc>
          <w:tcPr>
            <w:tcW w:w="3976" w:type="dxa"/>
            <w:vAlign w:val="center"/>
          </w:tcPr>
          <w:p>
            <w:pPr>
              <w:spacing w:after="60"/>
              <w:jc w:val="center"/>
              <w:rPr>
                <w:rFonts w:ascii="宋体" w:hAnsi="宋体"/>
                <w:b/>
                <w:bCs/>
                <w:szCs w:val="21"/>
              </w:rPr>
            </w:pPr>
            <w:r>
              <w:rPr>
                <w:rFonts w:hint="eastAsia" w:ascii="宋体" w:hAnsi="宋体"/>
                <w:b/>
                <w:bCs/>
                <w:szCs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118" w:type="dxa"/>
          </w:tcPr>
          <w:p>
            <w:pPr>
              <w:spacing w:after="60"/>
              <w:rPr>
                <w:rFonts w:ascii="宋体" w:hAnsi="宋体"/>
                <w:szCs w:val="21"/>
              </w:rPr>
            </w:pPr>
          </w:p>
        </w:tc>
        <w:tc>
          <w:tcPr>
            <w:tcW w:w="1800" w:type="dxa"/>
          </w:tcPr>
          <w:p>
            <w:pPr>
              <w:spacing w:after="60"/>
              <w:rPr>
                <w:rFonts w:ascii="宋体" w:hAnsi="宋体"/>
                <w:szCs w:val="21"/>
              </w:rPr>
            </w:pPr>
          </w:p>
        </w:tc>
        <w:tc>
          <w:tcPr>
            <w:tcW w:w="1260" w:type="dxa"/>
          </w:tcPr>
          <w:p>
            <w:pPr>
              <w:spacing w:after="60"/>
              <w:rPr>
                <w:rFonts w:ascii="宋体" w:hAnsi="宋体"/>
                <w:szCs w:val="21"/>
              </w:rPr>
            </w:pPr>
          </w:p>
        </w:tc>
        <w:tc>
          <w:tcPr>
            <w:tcW w:w="397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118" w:type="dxa"/>
          </w:tcPr>
          <w:p>
            <w:pPr>
              <w:spacing w:after="60"/>
              <w:rPr>
                <w:rFonts w:ascii="宋体" w:hAnsi="宋体"/>
                <w:szCs w:val="21"/>
              </w:rPr>
            </w:pPr>
          </w:p>
        </w:tc>
        <w:tc>
          <w:tcPr>
            <w:tcW w:w="1800" w:type="dxa"/>
          </w:tcPr>
          <w:p>
            <w:pPr>
              <w:spacing w:after="60"/>
              <w:rPr>
                <w:rFonts w:ascii="宋体" w:hAnsi="宋体"/>
                <w:szCs w:val="21"/>
              </w:rPr>
            </w:pPr>
          </w:p>
        </w:tc>
        <w:tc>
          <w:tcPr>
            <w:tcW w:w="1260" w:type="dxa"/>
          </w:tcPr>
          <w:p>
            <w:pPr>
              <w:spacing w:after="60"/>
              <w:rPr>
                <w:rFonts w:ascii="宋体" w:hAnsi="宋体"/>
                <w:szCs w:val="21"/>
              </w:rPr>
            </w:pPr>
          </w:p>
        </w:tc>
        <w:tc>
          <w:tcPr>
            <w:tcW w:w="397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118" w:type="dxa"/>
          </w:tcPr>
          <w:p>
            <w:pPr>
              <w:spacing w:after="60"/>
              <w:rPr>
                <w:rFonts w:ascii="宋体" w:hAnsi="宋体"/>
                <w:szCs w:val="21"/>
              </w:rPr>
            </w:pPr>
          </w:p>
        </w:tc>
        <w:tc>
          <w:tcPr>
            <w:tcW w:w="1800" w:type="dxa"/>
          </w:tcPr>
          <w:p>
            <w:pPr>
              <w:spacing w:after="60"/>
              <w:rPr>
                <w:rFonts w:ascii="宋体" w:hAnsi="宋体"/>
                <w:szCs w:val="21"/>
              </w:rPr>
            </w:pPr>
          </w:p>
        </w:tc>
        <w:tc>
          <w:tcPr>
            <w:tcW w:w="1260" w:type="dxa"/>
          </w:tcPr>
          <w:p>
            <w:pPr>
              <w:spacing w:after="60"/>
              <w:rPr>
                <w:rFonts w:ascii="宋体" w:hAnsi="宋体"/>
                <w:szCs w:val="21"/>
              </w:rPr>
            </w:pPr>
          </w:p>
        </w:tc>
        <w:tc>
          <w:tcPr>
            <w:tcW w:w="397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118" w:type="dxa"/>
          </w:tcPr>
          <w:p>
            <w:pPr>
              <w:spacing w:after="60"/>
              <w:rPr>
                <w:rFonts w:ascii="宋体" w:hAnsi="宋体"/>
                <w:szCs w:val="21"/>
              </w:rPr>
            </w:pPr>
          </w:p>
        </w:tc>
        <w:tc>
          <w:tcPr>
            <w:tcW w:w="1800" w:type="dxa"/>
          </w:tcPr>
          <w:p>
            <w:pPr>
              <w:spacing w:after="60"/>
              <w:rPr>
                <w:rFonts w:ascii="宋体" w:hAnsi="宋体"/>
                <w:szCs w:val="21"/>
              </w:rPr>
            </w:pPr>
          </w:p>
        </w:tc>
        <w:tc>
          <w:tcPr>
            <w:tcW w:w="1260" w:type="dxa"/>
          </w:tcPr>
          <w:p>
            <w:pPr>
              <w:spacing w:after="60"/>
              <w:rPr>
                <w:rFonts w:ascii="宋体" w:hAnsi="宋体"/>
                <w:szCs w:val="21"/>
              </w:rPr>
            </w:pPr>
          </w:p>
        </w:tc>
        <w:tc>
          <w:tcPr>
            <w:tcW w:w="397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118" w:type="dxa"/>
          </w:tcPr>
          <w:p>
            <w:pPr>
              <w:spacing w:after="60"/>
              <w:rPr>
                <w:rFonts w:ascii="宋体" w:hAnsi="宋体"/>
                <w:szCs w:val="21"/>
              </w:rPr>
            </w:pPr>
          </w:p>
        </w:tc>
        <w:tc>
          <w:tcPr>
            <w:tcW w:w="1800" w:type="dxa"/>
          </w:tcPr>
          <w:p>
            <w:pPr>
              <w:spacing w:after="60"/>
              <w:rPr>
                <w:rFonts w:ascii="宋体" w:hAnsi="宋体"/>
                <w:szCs w:val="21"/>
              </w:rPr>
            </w:pPr>
          </w:p>
        </w:tc>
        <w:tc>
          <w:tcPr>
            <w:tcW w:w="1260" w:type="dxa"/>
          </w:tcPr>
          <w:p>
            <w:pPr>
              <w:spacing w:after="60"/>
              <w:rPr>
                <w:rFonts w:ascii="宋体" w:hAnsi="宋体"/>
                <w:szCs w:val="21"/>
              </w:rPr>
            </w:pPr>
          </w:p>
        </w:tc>
        <w:tc>
          <w:tcPr>
            <w:tcW w:w="397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118" w:type="dxa"/>
          </w:tcPr>
          <w:p>
            <w:pPr>
              <w:spacing w:after="60"/>
              <w:rPr>
                <w:rFonts w:ascii="宋体" w:hAnsi="宋体"/>
                <w:szCs w:val="21"/>
              </w:rPr>
            </w:pPr>
          </w:p>
        </w:tc>
        <w:tc>
          <w:tcPr>
            <w:tcW w:w="1800" w:type="dxa"/>
          </w:tcPr>
          <w:p>
            <w:pPr>
              <w:spacing w:after="60"/>
              <w:rPr>
                <w:rFonts w:ascii="宋体" w:hAnsi="宋体"/>
                <w:szCs w:val="21"/>
              </w:rPr>
            </w:pPr>
          </w:p>
        </w:tc>
        <w:tc>
          <w:tcPr>
            <w:tcW w:w="1260" w:type="dxa"/>
          </w:tcPr>
          <w:p>
            <w:pPr>
              <w:spacing w:after="60"/>
              <w:rPr>
                <w:rFonts w:ascii="宋体" w:hAnsi="宋体"/>
                <w:szCs w:val="21"/>
              </w:rPr>
            </w:pPr>
          </w:p>
        </w:tc>
        <w:tc>
          <w:tcPr>
            <w:tcW w:w="397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118" w:type="dxa"/>
          </w:tcPr>
          <w:p>
            <w:pPr>
              <w:spacing w:after="60"/>
              <w:rPr>
                <w:rFonts w:ascii="宋体" w:hAnsi="宋体"/>
                <w:szCs w:val="21"/>
              </w:rPr>
            </w:pPr>
          </w:p>
        </w:tc>
        <w:tc>
          <w:tcPr>
            <w:tcW w:w="1800" w:type="dxa"/>
          </w:tcPr>
          <w:p>
            <w:pPr>
              <w:spacing w:after="60"/>
              <w:rPr>
                <w:rFonts w:ascii="宋体" w:hAnsi="宋体"/>
                <w:szCs w:val="21"/>
              </w:rPr>
            </w:pPr>
          </w:p>
        </w:tc>
        <w:tc>
          <w:tcPr>
            <w:tcW w:w="1260" w:type="dxa"/>
          </w:tcPr>
          <w:p>
            <w:pPr>
              <w:spacing w:after="60"/>
              <w:rPr>
                <w:rFonts w:ascii="宋体" w:hAnsi="宋体"/>
                <w:szCs w:val="21"/>
              </w:rPr>
            </w:pPr>
          </w:p>
        </w:tc>
        <w:tc>
          <w:tcPr>
            <w:tcW w:w="3976" w:type="dxa"/>
          </w:tcPr>
          <w:p>
            <w:pPr>
              <w:spacing w:after="6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118" w:type="dxa"/>
          </w:tcPr>
          <w:p>
            <w:pPr>
              <w:spacing w:after="60"/>
              <w:rPr>
                <w:rFonts w:ascii="宋体" w:hAnsi="宋体"/>
                <w:szCs w:val="21"/>
              </w:rPr>
            </w:pPr>
          </w:p>
        </w:tc>
        <w:tc>
          <w:tcPr>
            <w:tcW w:w="1800" w:type="dxa"/>
          </w:tcPr>
          <w:p>
            <w:pPr>
              <w:spacing w:after="60"/>
              <w:rPr>
                <w:rFonts w:ascii="宋体" w:hAnsi="宋体"/>
                <w:szCs w:val="21"/>
              </w:rPr>
            </w:pPr>
          </w:p>
        </w:tc>
        <w:tc>
          <w:tcPr>
            <w:tcW w:w="1260" w:type="dxa"/>
          </w:tcPr>
          <w:p>
            <w:pPr>
              <w:spacing w:after="60"/>
              <w:rPr>
                <w:rFonts w:ascii="宋体" w:hAnsi="宋体"/>
                <w:szCs w:val="21"/>
              </w:rPr>
            </w:pPr>
          </w:p>
        </w:tc>
        <w:tc>
          <w:tcPr>
            <w:tcW w:w="3976" w:type="dxa"/>
          </w:tcPr>
          <w:p>
            <w:pPr>
              <w:spacing w:after="60"/>
              <w:rPr>
                <w:rFonts w:ascii="宋体" w:hAnsi="宋体"/>
                <w:szCs w:val="21"/>
              </w:rPr>
            </w:pPr>
          </w:p>
        </w:tc>
      </w:tr>
    </w:tbl>
    <w:p>
      <w:pPr>
        <w:spacing w:after="60"/>
      </w:pPr>
    </w:p>
    <w:p>
      <w:pPr>
        <w:spacing w:after="60"/>
      </w:pPr>
    </w:p>
    <w:p>
      <w:pPr>
        <w:spacing w:line="360" w:lineRule="auto"/>
        <w:ind w:firstLine="3150" w:firstLineChars="1500"/>
        <w:jc w:val="left"/>
        <w:rPr>
          <w:szCs w:val="21"/>
        </w:rPr>
      </w:pPr>
      <w:bookmarkStart w:id="55" w:name="_Toc39077394"/>
      <w:bookmarkStart w:id="56" w:name="_Toc39071645"/>
      <w:bookmarkStart w:id="57" w:name="_Toc39072359"/>
      <w:bookmarkStart w:id="58" w:name="_Toc39077236"/>
      <w:r>
        <w:rPr>
          <w:rFonts w:hint="eastAsia"/>
          <w:szCs w:val="21"/>
        </w:rPr>
        <w:t>法定代表人或其授权委托人（</w:t>
      </w:r>
      <w:r>
        <w:rPr>
          <w:rFonts w:hint="eastAsia"/>
          <w:b/>
          <w:szCs w:val="21"/>
        </w:rPr>
        <w:t>签名</w:t>
      </w:r>
      <w:r>
        <w:rPr>
          <w:rFonts w:hint="eastAsia"/>
          <w:szCs w:val="21"/>
        </w:rPr>
        <w:t>）：</w:t>
      </w:r>
    </w:p>
    <w:p>
      <w:pPr>
        <w:spacing w:line="360" w:lineRule="auto"/>
        <w:ind w:firstLine="3150" w:firstLineChars="1500"/>
        <w:jc w:val="left"/>
        <w:rPr>
          <w:szCs w:val="21"/>
        </w:rPr>
      </w:pPr>
      <w:r>
        <w:rPr>
          <w:rFonts w:hint="eastAsia"/>
          <w:szCs w:val="21"/>
        </w:rPr>
        <w:t>投标单位（</w:t>
      </w:r>
      <w:r>
        <w:rPr>
          <w:rFonts w:hint="eastAsia"/>
          <w:b/>
          <w:szCs w:val="21"/>
        </w:rPr>
        <w:t>盖公章</w:t>
      </w:r>
      <w:r>
        <w:rPr>
          <w:rFonts w:hint="eastAsia"/>
          <w:szCs w:val="21"/>
        </w:rPr>
        <w:t>）：</w:t>
      </w:r>
    </w:p>
    <w:p>
      <w:pPr>
        <w:spacing w:line="360" w:lineRule="auto"/>
        <w:jc w:val="center"/>
        <w:rPr>
          <w:szCs w:val="21"/>
        </w:rPr>
      </w:pPr>
      <w:r>
        <w:rPr>
          <w:rFonts w:hint="eastAsia"/>
          <w:szCs w:val="21"/>
        </w:rPr>
        <w:t xml:space="preserve">               </w:t>
      </w:r>
    </w:p>
    <w:p>
      <w:pPr>
        <w:spacing w:line="360" w:lineRule="auto"/>
        <w:jc w:val="right"/>
        <w:rPr>
          <w:szCs w:val="21"/>
        </w:rPr>
      </w:pPr>
      <w:r>
        <w:rPr>
          <w:rFonts w:hint="eastAsia"/>
          <w:szCs w:val="21"/>
        </w:rPr>
        <w:t xml:space="preserve">   日期：年月日</w:t>
      </w:r>
    </w:p>
    <w:p>
      <w:r>
        <w:rPr>
          <w:rFonts w:hint="eastAsia"/>
        </w:rPr>
        <w:t>注：1.项目负责人还应作特别说明；</w:t>
      </w:r>
      <w:bookmarkEnd w:id="55"/>
      <w:bookmarkEnd w:id="56"/>
      <w:bookmarkEnd w:id="57"/>
      <w:bookmarkEnd w:id="58"/>
    </w:p>
    <w:p>
      <w:r>
        <w:rPr>
          <w:rFonts w:hint="eastAsia"/>
        </w:rPr>
        <w:tab/>
      </w:r>
      <w:r>
        <w:rPr>
          <w:rFonts w:hint="eastAsia"/>
        </w:rPr>
        <w:t>2.提供评分表要求的证书、证明材料等复印件，加盖投标人公章，原件备查。</w:t>
      </w:r>
    </w:p>
    <w:p>
      <w:pPr>
        <w:ind w:firstLine="420" w:firstLineChars="200"/>
      </w:pPr>
      <w:r>
        <w:t>3.</w:t>
      </w:r>
      <w:r>
        <w:rPr>
          <w:rFonts w:hint="eastAsia"/>
        </w:rPr>
        <w:t>主要管理和技术人员须提供评分表要求的证件复印件（加盖公章）证明；</w:t>
      </w:r>
    </w:p>
    <w:p>
      <w:r>
        <w:rPr>
          <w:rFonts w:hint="eastAsia"/>
        </w:rPr>
        <w:t xml:space="preserve">    4.另附人员安排计划。</w:t>
      </w:r>
    </w:p>
    <w:p>
      <w:r>
        <w:rPr>
          <w:rFonts w:hint="eastAsia"/>
        </w:rPr>
        <w:br w:type="page"/>
      </w:r>
    </w:p>
    <w:p>
      <w:pPr>
        <w:spacing w:line="377" w:lineRule="auto"/>
        <w:jc w:val="center"/>
        <w:outlineLvl w:val="1"/>
        <w:rPr>
          <w:rFonts w:ascii="宋体" w:hAnsi="宋体" w:cs="宋体"/>
          <w:b/>
          <w:bCs/>
          <w:sz w:val="30"/>
          <w:szCs w:val="30"/>
        </w:rPr>
      </w:pPr>
      <w:bookmarkStart w:id="59" w:name="_Toc76054660"/>
      <w:r>
        <w:rPr>
          <w:rFonts w:hint="eastAsia" w:ascii="宋体" w:hAnsi="宋体" w:cs="宋体"/>
          <w:b/>
          <w:bCs/>
          <w:sz w:val="30"/>
          <w:szCs w:val="30"/>
        </w:rPr>
        <w:t>八、实施方案</w:t>
      </w:r>
      <w:bookmarkEnd w:id="59"/>
    </w:p>
    <w:p>
      <w:pPr>
        <w:spacing w:after="60"/>
        <w:rPr>
          <w:rFonts w:ascii="宋体" w:hAnsi="宋体" w:cs="Arial"/>
          <w:szCs w:val="21"/>
        </w:rPr>
      </w:pPr>
      <w:r>
        <w:rPr>
          <w:rFonts w:hint="eastAsia" w:ascii="宋体" w:hAnsi="宋体" w:cs="Arial"/>
          <w:szCs w:val="21"/>
        </w:rPr>
        <w:t>投标人名称__________________</w:t>
      </w:r>
    </w:p>
    <w:p>
      <w:pPr>
        <w:spacing w:after="60"/>
        <w:rPr>
          <w:rFonts w:ascii="宋体" w:hAnsi="宋体" w:cs="Arial"/>
          <w:szCs w:val="21"/>
        </w:rPr>
      </w:pPr>
      <w:r>
        <w:rPr>
          <w:rFonts w:hint="eastAsia" w:ascii="宋体" w:hAnsi="宋体" w:cs="Arial"/>
          <w:szCs w:val="21"/>
        </w:rPr>
        <w:t>招标编号____________________</w:t>
      </w:r>
    </w:p>
    <w:p/>
    <w:p>
      <w:r>
        <w:rPr>
          <w:rFonts w:hint="eastAsia"/>
        </w:rPr>
        <w:t>主要内容应包括但不限于以下内容：</w:t>
      </w:r>
    </w:p>
    <w:p>
      <w:r>
        <w:br w:type="page"/>
      </w:r>
    </w:p>
    <w:p>
      <w:pPr>
        <w:jc w:val="center"/>
        <w:outlineLvl w:val="1"/>
        <w:rPr>
          <w:rFonts w:ascii="宋体" w:hAnsi="宋体" w:cs="宋体"/>
          <w:sz w:val="30"/>
          <w:szCs w:val="30"/>
        </w:rPr>
      </w:pPr>
      <w:bookmarkStart w:id="60" w:name="_Toc76054661"/>
      <w:r>
        <w:rPr>
          <w:rFonts w:hint="eastAsia" w:ascii="宋体" w:hAnsi="宋体" w:cs="宋体"/>
          <w:b/>
          <w:bCs/>
          <w:sz w:val="30"/>
          <w:szCs w:val="30"/>
        </w:rPr>
        <w:t>九、投标人诚信承诺函</w:t>
      </w:r>
      <w:bookmarkEnd w:id="60"/>
    </w:p>
    <w:p>
      <w:pPr>
        <w:spacing w:line="360" w:lineRule="auto"/>
        <w:jc w:val="left"/>
        <w:rPr>
          <w:rFonts w:ascii="宋体" w:hAnsi="宋体"/>
          <w:szCs w:val="21"/>
        </w:rPr>
      </w:pPr>
    </w:p>
    <w:p>
      <w:pPr>
        <w:jc w:val="left"/>
        <w:rPr>
          <w:rFonts w:ascii="宋体" w:hAnsi="宋体"/>
          <w:szCs w:val="21"/>
        </w:rPr>
      </w:pPr>
      <w:r>
        <w:rPr>
          <w:rFonts w:hint="eastAsia" w:ascii="宋体" w:hAnsi="宋体"/>
          <w:szCs w:val="21"/>
        </w:rPr>
        <w:t>致</w:t>
      </w:r>
      <w:r>
        <w:rPr>
          <w:rFonts w:hint="eastAsia" w:ascii="宋体" w:hAnsi="宋体"/>
          <w:kern w:val="0"/>
          <w:szCs w:val="21"/>
        </w:rPr>
        <w:t>深圳市前海深港现代服务业合作区管理局：</w:t>
      </w:r>
    </w:p>
    <w:p>
      <w:pPr>
        <w:ind w:firstLine="420" w:firstLineChars="200"/>
        <w:jc w:val="left"/>
        <w:rPr>
          <w:rFonts w:ascii="宋体" w:hAnsi="宋体"/>
          <w:szCs w:val="21"/>
        </w:rPr>
      </w:pPr>
      <w:r>
        <w:rPr>
          <w:rFonts w:hint="eastAsia" w:ascii="宋体" w:hAnsi="宋体"/>
          <w:szCs w:val="21"/>
        </w:rPr>
        <w:t>我单位承诺近三年在采购招标投标活动中，不存在以下情形：</w:t>
      </w:r>
    </w:p>
    <w:p>
      <w:pPr>
        <w:pStyle w:val="48"/>
        <w:tabs>
          <w:tab w:val="left" w:pos="567"/>
        </w:tabs>
        <w:spacing w:line="240" w:lineRule="auto"/>
        <w:ind w:left="420"/>
        <w:rPr>
          <w:b w:val="0"/>
          <w:sz w:val="21"/>
          <w:szCs w:val="21"/>
        </w:rPr>
      </w:pPr>
      <w:r>
        <w:rPr>
          <w:rFonts w:hint="eastAsia"/>
          <w:b w:val="0"/>
          <w:sz w:val="21"/>
          <w:szCs w:val="21"/>
        </w:rPr>
        <w:t>（一）被纪检监察部门立案调查，违法违规事实成立的；</w:t>
      </w:r>
    </w:p>
    <w:p>
      <w:pPr>
        <w:pStyle w:val="48"/>
        <w:tabs>
          <w:tab w:val="left" w:pos="567"/>
        </w:tabs>
        <w:spacing w:line="240" w:lineRule="auto"/>
        <w:ind w:left="420"/>
        <w:rPr>
          <w:b w:val="0"/>
          <w:sz w:val="21"/>
          <w:szCs w:val="21"/>
        </w:rPr>
      </w:pPr>
      <w:r>
        <w:rPr>
          <w:rFonts w:hint="eastAsia"/>
          <w:b w:val="0"/>
          <w:sz w:val="21"/>
          <w:szCs w:val="21"/>
        </w:rPr>
        <w:t>（二）未按本条例规定签订、履行采购合同，造成严重后果的；</w:t>
      </w:r>
    </w:p>
    <w:p>
      <w:pPr>
        <w:pStyle w:val="48"/>
        <w:tabs>
          <w:tab w:val="left" w:pos="567"/>
        </w:tabs>
        <w:spacing w:line="240" w:lineRule="auto"/>
        <w:ind w:left="420"/>
        <w:rPr>
          <w:b w:val="0"/>
          <w:sz w:val="21"/>
          <w:szCs w:val="21"/>
        </w:rPr>
      </w:pPr>
      <w:r>
        <w:rPr>
          <w:rFonts w:hint="eastAsia"/>
          <w:b w:val="0"/>
          <w:sz w:val="21"/>
          <w:szCs w:val="21"/>
        </w:rPr>
        <w:t>（三）隐瞒真实情况，提供虚假资料的；</w:t>
      </w:r>
    </w:p>
    <w:p>
      <w:pPr>
        <w:pStyle w:val="48"/>
        <w:tabs>
          <w:tab w:val="left" w:pos="567"/>
        </w:tabs>
        <w:spacing w:line="240" w:lineRule="auto"/>
        <w:ind w:left="420"/>
        <w:rPr>
          <w:b w:val="0"/>
          <w:sz w:val="21"/>
          <w:szCs w:val="21"/>
        </w:rPr>
      </w:pPr>
      <w:r>
        <w:rPr>
          <w:rFonts w:hint="eastAsia"/>
          <w:b w:val="0"/>
          <w:sz w:val="21"/>
          <w:szCs w:val="21"/>
        </w:rPr>
        <w:t>（四）以非法手段排斥其他供应商参与竞争的；</w:t>
      </w:r>
    </w:p>
    <w:p>
      <w:pPr>
        <w:pStyle w:val="48"/>
        <w:tabs>
          <w:tab w:val="left" w:pos="567"/>
        </w:tabs>
        <w:spacing w:line="240" w:lineRule="auto"/>
        <w:ind w:left="420"/>
        <w:rPr>
          <w:b w:val="0"/>
          <w:sz w:val="21"/>
          <w:szCs w:val="21"/>
        </w:rPr>
      </w:pPr>
      <w:r>
        <w:rPr>
          <w:rFonts w:hint="eastAsia"/>
          <w:b w:val="0"/>
          <w:sz w:val="21"/>
          <w:szCs w:val="21"/>
        </w:rPr>
        <w:t>（五）与其他采购参加人串通投标的；</w:t>
      </w:r>
    </w:p>
    <w:p>
      <w:pPr>
        <w:pStyle w:val="48"/>
        <w:tabs>
          <w:tab w:val="left" w:pos="567"/>
        </w:tabs>
        <w:spacing w:line="240" w:lineRule="auto"/>
        <w:ind w:left="420"/>
        <w:rPr>
          <w:b w:val="0"/>
          <w:sz w:val="21"/>
          <w:szCs w:val="21"/>
        </w:rPr>
      </w:pPr>
      <w:r>
        <w:rPr>
          <w:rFonts w:hint="eastAsia"/>
          <w:b w:val="0"/>
          <w:sz w:val="21"/>
          <w:szCs w:val="21"/>
        </w:rPr>
        <w:t xml:space="preserve">（六）在采购活动中应当回避而未回避的； </w:t>
      </w:r>
    </w:p>
    <w:p>
      <w:pPr>
        <w:pStyle w:val="48"/>
        <w:tabs>
          <w:tab w:val="left" w:pos="567"/>
        </w:tabs>
        <w:spacing w:line="240" w:lineRule="auto"/>
        <w:ind w:left="420"/>
        <w:rPr>
          <w:b w:val="0"/>
          <w:sz w:val="21"/>
          <w:szCs w:val="21"/>
        </w:rPr>
      </w:pPr>
      <w:r>
        <w:rPr>
          <w:rFonts w:hint="eastAsia"/>
          <w:b w:val="0"/>
          <w:sz w:val="21"/>
          <w:szCs w:val="21"/>
        </w:rPr>
        <w:t xml:space="preserve">（七）恶意投诉的； </w:t>
      </w:r>
    </w:p>
    <w:p>
      <w:pPr>
        <w:pStyle w:val="48"/>
        <w:tabs>
          <w:tab w:val="left" w:pos="567"/>
        </w:tabs>
        <w:spacing w:line="240" w:lineRule="auto"/>
        <w:ind w:left="420"/>
        <w:rPr>
          <w:b w:val="0"/>
          <w:sz w:val="21"/>
          <w:szCs w:val="21"/>
        </w:rPr>
      </w:pPr>
      <w:r>
        <w:rPr>
          <w:rFonts w:hint="eastAsia"/>
          <w:b w:val="0"/>
          <w:sz w:val="21"/>
          <w:szCs w:val="21"/>
        </w:rPr>
        <w:t xml:space="preserve">（八）向采购项目相关人行贿或者提供其他不当利益的； </w:t>
      </w:r>
    </w:p>
    <w:p>
      <w:pPr>
        <w:pStyle w:val="48"/>
        <w:tabs>
          <w:tab w:val="left" w:pos="567"/>
        </w:tabs>
        <w:spacing w:line="240" w:lineRule="auto"/>
        <w:ind w:left="420"/>
        <w:rPr>
          <w:b w:val="0"/>
          <w:sz w:val="21"/>
          <w:szCs w:val="21"/>
        </w:rPr>
      </w:pPr>
      <w:r>
        <w:rPr>
          <w:rFonts w:hint="eastAsia"/>
          <w:b w:val="0"/>
          <w:sz w:val="21"/>
          <w:szCs w:val="21"/>
        </w:rPr>
        <w:t>（九）阻碍、抗拒主管部门监督检查的；</w:t>
      </w:r>
    </w:p>
    <w:p>
      <w:pPr>
        <w:pStyle w:val="48"/>
        <w:tabs>
          <w:tab w:val="left" w:pos="567"/>
        </w:tabs>
        <w:spacing w:line="240" w:lineRule="auto"/>
        <w:ind w:left="420"/>
        <w:rPr>
          <w:b w:val="0"/>
          <w:sz w:val="21"/>
          <w:szCs w:val="21"/>
        </w:rPr>
      </w:pPr>
      <w:r>
        <w:rPr>
          <w:rFonts w:hint="eastAsia"/>
          <w:b w:val="0"/>
          <w:sz w:val="21"/>
          <w:szCs w:val="21"/>
        </w:rPr>
        <w:t>（十）履约检查不合格或者评价为差的；</w:t>
      </w:r>
    </w:p>
    <w:p>
      <w:pPr>
        <w:ind w:firstLine="420" w:firstLineChars="200"/>
        <w:jc w:val="left"/>
        <w:rPr>
          <w:rFonts w:ascii="宋体" w:hAnsi="宋体"/>
          <w:szCs w:val="21"/>
        </w:rPr>
      </w:pPr>
      <w:r>
        <w:rPr>
          <w:rFonts w:hint="eastAsia" w:ascii="宋体" w:hAnsi="宋体"/>
          <w:szCs w:val="21"/>
        </w:rPr>
        <w:t>（十一）主管部门认定的其他情形。</w:t>
      </w:r>
    </w:p>
    <w:p>
      <w:pPr>
        <w:ind w:firstLine="420" w:firstLineChars="200"/>
        <w:jc w:val="left"/>
        <w:rPr>
          <w:rFonts w:ascii="宋体" w:hAnsi="宋体"/>
          <w:szCs w:val="21"/>
        </w:rPr>
      </w:pPr>
      <w:r>
        <w:rPr>
          <w:rFonts w:hint="eastAsia" w:ascii="宋体" w:hAnsi="宋体"/>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ind w:firstLine="420" w:firstLineChars="200"/>
        <w:jc w:val="left"/>
        <w:rPr>
          <w:rFonts w:ascii="宋体" w:hAnsi="宋体"/>
          <w:szCs w:val="21"/>
        </w:rPr>
      </w:pPr>
      <w:r>
        <w:rPr>
          <w:rFonts w:hint="eastAsia" w:ascii="宋体" w:hAnsi="宋体"/>
          <w:szCs w:val="21"/>
        </w:rPr>
        <w:t>特此承诺。</w:t>
      </w:r>
    </w:p>
    <w:p>
      <w:pPr>
        <w:jc w:val="right"/>
        <w:rPr>
          <w:rFonts w:ascii="宋体" w:hAnsi="宋体"/>
          <w:szCs w:val="21"/>
        </w:rPr>
      </w:pPr>
    </w:p>
    <w:p>
      <w:pPr>
        <w:jc w:val="right"/>
        <w:rPr>
          <w:rFonts w:ascii="宋体" w:hAnsi="宋体"/>
          <w:szCs w:val="21"/>
        </w:rPr>
      </w:pPr>
    </w:p>
    <w:p>
      <w:pPr>
        <w:ind w:firstLine="3150" w:firstLineChars="1500"/>
        <w:jc w:val="left"/>
        <w:rPr>
          <w:szCs w:val="21"/>
        </w:rPr>
      </w:pPr>
      <w:r>
        <w:rPr>
          <w:rFonts w:hint="eastAsia"/>
          <w:szCs w:val="21"/>
        </w:rPr>
        <w:t>法定代表人或其授权委托人（</w:t>
      </w:r>
      <w:r>
        <w:rPr>
          <w:rFonts w:hint="eastAsia"/>
          <w:b/>
          <w:szCs w:val="21"/>
        </w:rPr>
        <w:t>签名</w:t>
      </w:r>
      <w:r>
        <w:rPr>
          <w:rFonts w:hint="eastAsia"/>
          <w:szCs w:val="21"/>
        </w:rPr>
        <w:t>）：</w:t>
      </w:r>
    </w:p>
    <w:p>
      <w:pPr>
        <w:jc w:val="left"/>
        <w:rPr>
          <w:szCs w:val="21"/>
        </w:rPr>
      </w:pPr>
    </w:p>
    <w:p>
      <w:pPr>
        <w:ind w:firstLine="3150" w:firstLineChars="1500"/>
        <w:jc w:val="left"/>
        <w:rPr>
          <w:szCs w:val="21"/>
        </w:rPr>
      </w:pPr>
      <w:r>
        <w:rPr>
          <w:rFonts w:hint="eastAsia"/>
          <w:szCs w:val="21"/>
        </w:rPr>
        <w:t>投标单位（</w:t>
      </w:r>
      <w:r>
        <w:rPr>
          <w:rFonts w:hint="eastAsia"/>
          <w:b/>
          <w:szCs w:val="21"/>
        </w:rPr>
        <w:t>盖公章</w:t>
      </w:r>
      <w:r>
        <w:rPr>
          <w:rFonts w:hint="eastAsia"/>
          <w:szCs w:val="21"/>
        </w:rPr>
        <w:t>）：</w:t>
      </w:r>
    </w:p>
    <w:p>
      <w:pPr>
        <w:jc w:val="left"/>
        <w:rPr>
          <w:szCs w:val="21"/>
        </w:rPr>
      </w:pPr>
    </w:p>
    <w:p>
      <w:pPr>
        <w:jc w:val="right"/>
        <w:rPr>
          <w:szCs w:val="21"/>
        </w:rPr>
      </w:pPr>
      <w:r>
        <w:rPr>
          <w:rFonts w:hint="eastAsia"/>
          <w:szCs w:val="21"/>
        </w:rPr>
        <w:t>日期：年月日</w:t>
      </w:r>
    </w:p>
    <w:p>
      <w:pPr>
        <w:pStyle w:val="4"/>
        <w:spacing w:before="0" w:after="0"/>
      </w:pPr>
      <w:r>
        <w:rPr>
          <w:rFonts w:hint="eastAsia"/>
        </w:rPr>
        <w:br w:type="page"/>
      </w:r>
      <w:bookmarkStart w:id="61" w:name="_Toc76054662"/>
      <w:r>
        <w:rPr>
          <w:rFonts w:hint="eastAsia" w:ascii="宋体" w:eastAsia="宋体" w:cs="宋体"/>
          <w:b/>
          <w:bCs/>
          <w:sz w:val="30"/>
          <w:szCs w:val="30"/>
        </w:rPr>
        <w:t>十、</w:t>
      </w:r>
      <w:r>
        <w:rPr>
          <w:rFonts w:hint="eastAsia" w:ascii="宋体" w:eastAsia="宋体" w:cs="宋体"/>
          <w:b/>
          <w:bCs/>
          <w:kern w:val="2"/>
          <w:sz w:val="30"/>
          <w:szCs w:val="30"/>
        </w:rPr>
        <w:t>投标及履约承诺函</w:t>
      </w:r>
      <w:bookmarkEnd w:id="61"/>
    </w:p>
    <w:p>
      <w:pPr>
        <w:jc w:val="left"/>
        <w:rPr>
          <w:rFonts w:ascii="宋体" w:hAnsi="宋体"/>
          <w:szCs w:val="21"/>
        </w:rPr>
      </w:pPr>
    </w:p>
    <w:p>
      <w:pPr>
        <w:jc w:val="left"/>
        <w:rPr>
          <w:rFonts w:ascii="宋体" w:hAnsi="宋体"/>
          <w:szCs w:val="21"/>
        </w:rPr>
      </w:pPr>
      <w:r>
        <w:rPr>
          <w:rFonts w:hint="eastAsia" w:ascii="宋体" w:hAnsi="宋体"/>
          <w:szCs w:val="21"/>
        </w:rPr>
        <w:t>致</w:t>
      </w:r>
      <w:r>
        <w:rPr>
          <w:rFonts w:hint="eastAsia" w:ascii="宋体" w:hAnsi="宋体"/>
          <w:kern w:val="0"/>
          <w:szCs w:val="21"/>
        </w:rPr>
        <w:t>深圳市前海深港现代服务业合作区管理局：</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1.我单位本次招标项目所提供的货物或服务未侵犯知识产权。</w:t>
      </w:r>
    </w:p>
    <w:p>
      <w:pPr>
        <w:ind w:firstLine="420" w:firstLineChars="200"/>
        <w:rPr>
          <w:rFonts w:ascii="宋体" w:hAnsi="宋体"/>
          <w:szCs w:val="21"/>
        </w:rPr>
      </w:pPr>
      <w:r>
        <w:rPr>
          <w:rFonts w:hint="eastAsia" w:ascii="宋体" w:hAnsi="宋体"/>
          <w:szCs w:val="21"/>
        </w:rPr>
        <w:t>2.我单位参与本项目投标前三年内，在经营活动中没有重大违法记录。</w:t>
      </w:r>
    </w:p>
    <w:p>
      <w:pPr>
        <w:ind w:firstLine="420" w:firstLineChars="200"/>
        <w:rPr>
          <w:rFonts w:ascii="宋体" w:hAnsi="宋体"/>
          <w:szCs w:val="21"/>
        </w:rPr>
      </w:pPr>
      <w:r>
        <w:rPr>
          <w:rFonts w:hint="eastAsia" w:ascii="宋体" w:hAnsi="宋体"/>
          <w:szCs w:val="21"/>
        </w:rPr>
        <w:t>3.我单位参与本项目政府采购活动时不存在被有关部门禁止参与政府采购活动且在有效期内的情况；不存在单位负责人为同一人或者存在直接控股、管理关系参加同一合同项下的政府采购活动的情况；未对本次采购项目为采购项目提供整体设计、规范编制或者项目管理、监理、检测等服务。</w:t>
      </w:r>
    </w:p>
    <w:p>
      <w:pPr>
        <w:ind w:firstLine="420" w:firstLineChars="200"/>
        <w:rPr>
          <w:rFonts w:ascii="宋体" w:hAnsi="宋体"/>
          <w:szCs w:val="21"/>
        </w:rPr>
      </w:pPr>
      <w:r>
        <w:rPr>
          <w:rFonts w:hint="eastAsia" w:ascii="宋体" w:hAnsi="宋体"/>
          <w:szCs w:val="21"/>
        </w:rPr>
        <w:t>4.我单位具备《中华人民共和国政府采购法》第二十二条规定的条件。</w:t>
      </w:r>
    </w:p>
    <w:p>
      <w:pPr>
        <w:ind w:firstLine="420" w:firstLineChars="200"/>
        <w:rPr>
          <w:rFonts w:ascii="宋体" w:hAnsi="宋体"/>
          <w:szCs w:val="21"/>
        </w:rPr>
      </w:pPr>
      <w:r>
        <w:rPr>
          <w:rFonts w:hint="eastAsia" w:ascii="宋体" w:hAnsi="宋体"/>
          <w:szCs w:val="21"/>
        </w:rPr>
        <w:t>5.我单位未被列入失信被执行人、重大税收违法案件当事人名单、政府采购严重违法失信行为记录名单。</w:t>
      </w:r>
    </w:p>
    <w:p>
      <w:pPr>
        <w:ind w:firstLine="420" w:firstLineChars="200"/>
        <w:rPr>
          <w:rFonts w:ascii="宋体" w:hAnsi="宋体"/>
          <w:szCs w:val="21"/>
        </w:rPr>
      </w:pPr>
      <w:r>
        <w:rPr>
          <w:rFonts w:hint="eastAsia" w:ascii="宋体" w:hAnsi="宋体"/>
          <w:szCs w:val="21"/>
        </w:rPr>
        <w:t>6.我单位参与该项目投标，严格遵守政府采购相关法律，投标做到诚实，不造假，不围标、串标、陪标。我单位已清楚，如违反上述要求，其投标将作废，被列入不良记录名单并在网上曝光，同时将被提请政府采购监督管理部门给予一定年限内禁止参与政府采购活动或其他处罚。</w:t>
      </w:r>
    </w:p>
    <w:p>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7.我单位如果中标，做到守信，不偷工减料，依照本项目招标文件需求内容、签署的采购合同及本单位在投标中所作的一切承诺履约。项目验收达到全部指标合格，力争优良。</w:t>
      </w:r>
    </w:p>
    <w:p>
      <w:pPr>
        <w:ind w:firstLine="420" w:firstLineChars="200"/>
        <w:rPr>
          <w:rFonts w:ascii="宋体" w:hAnsi="宋体"/>
          <w:szCs w:val="21"/>
        </w:rPr>
      </w:pPr>
      <w:r>
        <w:rPr>
          <w:rFonts w:hint="eastAsia" w:ascii="宋体" w:hAnsi="宋体"/>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54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540"/>
        <w:rPr>
          <w:rFonts w:ascii="宋体" w:hAnsi="宋体"/>
          <w:szCs w:val="21"/>
        </w:rPr>
      </w:pPr>
      <w:r>
        <w:rPr>
          <w:rFonts w:hint="eastAsia" w:ascii="宋体" w:hAnsi="宋体"/>
          <w:szCs w:val="21"/>
        </w:rPr>
        <w:t>10.我单位承诺不非法转包、分包。</w:t>
      </w:r>
    </w:p>
    <w:p>
      <w:pPr>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pPr>
        <w:ind w:firstLine="3150" w:firstLineChars="1500"/>
        <w:jc w:val="left"/>
        <w:rPr>
          <w:szCs w:val="21"/>
        </w:rPr>
      </w:pPr>
    </w:p>
    <w:p>
      <w:pPr>
        <w:ind w:firstLine="3150" w:firstLineChars="1500"/>
        <w:jc w:val="left"/>
        <w:rPr>
          <w:szCs w:val="21"/>
        </w:rPr>
      </w:pPr>
    </w:p>
    <w:p>
      <w:pPr>
        <w:ind w:firstLine="3150" w:firstLineChars="1500"/>
        <w:jc w:val="left"/>
        <w:rPr>
          <w:szCs w:val="21"/>
        </w:rPr>
      </w:pPr>
      <w:r>
        <w:rPr>
          <w:rFonts w:hint="eastAsia"/>
          <w:szCs w:val="21"/>
        </w:rPr>
        <w:t>法定代表人或其授权委托人（</w:t>
      </w:r>
      <w:r>
        <w:rPr>
          <w:rFonts w:hint="eastAsia"/>
          <w:b/>
          <w:szCs w:val="21"/>
        </w:rPr>
        <w:t>签名</w:t>
      </w:r>
      <w:r>
        <w:rPr>
          <w:rFonts w:hint="eastAsia"/>
          <w:szCs w:val="21"/>
        </w:rPr>
        <w:t>）：</w:t>
      </w:r>
    </w:p>
    <w:p>
      <w:pPr>
        <w:ind w:firstLine="3150" w:firstLineChars="1500"/>
        <w:jc w:val="left"/>
        <w:rPr>
          <w:szCs w:val="21"/>
        </w:rPr>
      </w:pPr>
      <w:r>
        <w:rPr>
          <w:rFonts w:hint="eastAsia"/>
          <w:szCs w:val="21"/>
        </w:rPr>
        <w:t>投标单位（</w:t>
      </w:r>
      <w:r>
        <w:rPr>
          <w:rFonts w:hint="eastAsia"/>
          <w:b/>
          <w:szCs w:val="21"/>
        </w:rPr>
        <w:t>盖公章</w:t>
      </w:r>
      <w:r>
        <w:rPr>
          <w:rFonts w:hint="eastAsia"/>
          <w:szCs w:val="21"/>
        </w:rPr>
        <w:t>）：</w:t>
      </w:r>
    </w:p>
    <w:p>
      <w:pPr>
        <w:jc w:val="center"/>
        <w:rPr>
          <w:szCs w:val="21"/>
        </w:rPr>
      </w:pPr>
      <w:r>
        <w:rPr>
          <w:rFonts w:hint="eastAsia"/>
          <w:szCs w:val="21"/>
        </w:rPr>
        <w:t xml:space="preserve">               </w:t>
      </w:r>
    </w:p>
    <w:p>
      <w:pPr>
        <w:jc w:val="right"/>
        <w:rPr>
          <w:szCs w:val="21"/>
        </w:rPr>
      </w:pPr>
      <w:r>
        <w:rPr>
          <w:rFonts w:hint="eastAsia"/>
          <w:szCs w:val="21"/>
        </w:rPr>
        <w:t xml:space="preserve">   日期：年月日</w:t>
      </w:r>
    </w:p>
    <w:p>
      <w:pPr>
        <w:rPr>
          <w:szCs w:val="21"/>
        </w:rPr>
      </w:pPr>
      <w:r>
        <w:rPr>
          <w:rFonts w:hint="eastAsia"/>
          <w:szCs w:val="21"/>
        </w:rPr>
        <w:br w:type="page"/>
      </w:r>
    </w:p>
    <w:p>
      <w:pPr>
        <w:jc w:val="right"/>
        <w:rPr>
          <w:szCs w:val="21"/>
        </w:rPr>
      </w:pPr>
    </w:p>
    <w:p>
      <w:pPr>
        <w:jc w:val="center"/>
        <w:outlineLvl w:val="1"/>
        <w:rPr>
          <w:rFonts w:ascii="宋体" w:hAnsi="宋体" w:cs="宋体"/>
          <w:b/>
          <w:bCs/>
          <w:sz w:val="30"/>
          <w:szCs w:val="30"/>
        </w:rPr>
      </w:pPr>
      <w:bookmarkStart w:id="62" w:name="_Toc76054663"/>
      <w:r>
        <w:rPr>
          <w:rFonts w:hint="eastAsia" w:ascii="宋体" w:hAnsi="宋体" w:cs="宋体"/>
          <w:b/>
          <w:bCs/>
          <w:sz w:val="30"/>
          <w:szCs w:val="30"/>
        </w:rPr>
        <w:t>十一、用户需求响应表</w:t>
      </w:r>
      <w:bookmarkEnd w:id="62"/>
    </w:p>
    <w:p>
      <w:r>
        <w:rPr>
          <w:rFonts w:hint="eastAsia"/>
        </w:rPr>
        <w:t>投标人应按照招标文件要求，根据“用户需求书”内容作出全面响应（按第五章货物或服务要求和商务条件逐条响应，包括技术和商务的所有内容）。对必须满足的内容，必须完全满足。对响应有差异的，则说明差异的内容。</w:t>
      </w:r>
    </w:p>
    <w:p/>
    <w:p>
      <w:pPr>
        <w:pStyle w:val="41"/>
        <w:rPr>
          <w:rFonts w:hAnsi="宋体" w:cs="宋体"/>
        </w:rPr>
      </w:pPr>
      <w:r>
        <w:rPr>
          <w:rFonts w:hint="eastAsia" w:hAnsi="宋体" w:cs="宋体"/>
        </w:rPr>
        <w:t>用户需求响应表</w:t>
      </w:r>
    </w:p>
    <w:p>
      <w:pPr>
        <w:rPr>
          <w:rFonts w:ascii="宋体" w:hAnsi="宋体" w:cs="宋体"/>
        </w:rPr>
      </w:pPr>
      <w:r>
        <w:rPr>
          <w:rFonts w:hint="eastAsia" w:ascii="宋体" w:hAnsi="宋体" w:cs="宋体"/>
          <w:bCs/>
        </w:rPr>
        <w:t>招标编号：</w:t>
      </w:r>
    </w:p>
    <w:p>
      <w:pPr>
        <w:spacing w:line="360" w:lineRule="auto"/>
        <w:ind w:left="618" w:hanging="618"/>
        <w:rPr>
          <w:rFonts w:ascii="宋体" w:hAnsi="宋体" w:cs="宋体"/>
          <w:bCs/>
        </w:rPr>
      </w:pPr>
      <w:r>
        <w:rPr>
          <w:rFonts w:hint="eastAsia" w:ascii="宋体" w:hAnsi="宋体" w:cs="宋体"/>
        </w:rPr>
        <w:t>[说明]投标人应对照招标文件要求与投标的实际情况对招标文件中“用户需求书”的条款内容作全面响应</w:t>
      </w:r>
      <w:r>
        <w:rPr>
          <w:rFonts w:hint="eastAsia" w:ascii="宋体" w:hAnsi="宋体" w:cs="宋体"/>
          <w:b/>
          <w:bCs/>
        </w:rPr>
        <w:t>（按第五章技术要求和商务要求逐条响应，包括技术和商务的所有内容）</w:t>
      </w:r>
      <w:r>
        <w:rPr>
          <w:rFonts w:hint="eastAsia" w:ascii="宋体" w:hAnsi="宋体" w:cs="宋体"/>
        </w:rPr>
        <w:t>。</w:t>
      </w:r>
    </w:p>
    <w:tbl>
      <w:tblPr>
        <w:tblStyle w:val="20"/>
        <w:tblW w:w="90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2"/>
        <w:gridCol w:w="6152"/>
        <w:gridCol w:w="992"/>
        <w:gridCol w:w="12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29" w:hRule="atLeast"/>
          <w:jc w:val="center"/>
        </w:trPr>
        <w:tc>
          <w:tcPr>
            <w:tcW w:w="582" w:type="dxa"/>
            <w:shd w:val="clear" w:color="auto" w:fill="EEECE1"/>
            <w:vAlign w:val="center"/>
          </w:tcPr>
          <w:p>
            <w:pPr>
              <w:rPr>
                <w:rFonts w:ascii="宋体" w:hAnsi="宋体" w:cs="宋体"/>
                <w:szCs w:val="21"/>
              </w:rPr>
            </w:pPr>
            <w:r>
              <w:rPr>
                <w:rFonts w:hint="eastAsia" w:ascii="宋体" w:hAnsi="宋体" w:cs="宋体"/>
                <w:szCs w:val="21"/>
              </w:rPr>
              <w:t>序号</w:t>
            </w:r>
          </w:p>
        </w:tc>
        <w:tc>
          <w:tcPr>
            <w:tcW w:w="6152" w:type="dxa"/>
            <w:shd w:val="clear" w:color="auto" w:fill="EEECE1"/>
            <w:vAlign w:val="center"/>
          </w:tcPr>
          <w:p>
            <w:pPr>
              <w:jc w:val="center"/>
              <w:rPr>
                <w:rFonts w:ascii="宋体" w:hAnsi="宋体" w:cs="宋体"/>
              </w:rPr>
            </w:pPr>
            <w:r>
              <w:rPr>
                <w:rFonts w:hint="eastAsia" w:ascii="宋体" w:hAnsi="宋体" w:cs="宋体"/>
              </w:rPr>
              <w:t>招标文件条款描述</w:t>
            </w:r>
          </w:p>
        </w:tc>
        <w:tc>
          <w:tcPr>
            <w:tcW w:w="992" w:type="dxa"/>
            <w:shd w:val="clear" w:color="auto" w:fill="EEECE1"/>
            <w:vAlign w:val="center"/>
          </w:tcPr>
          <w:p>
            <w:pPr>
              <w:jc w:val="center"/>
              <w:rPr>
                <w:rFonts w:ascii="宋体" w:hAnsi="宋体" w:cs="宋体"/>
              </w:rPr>
            </w:pPr>
            <w:r>
              <w:rPr>
                <w:rFonts w:hint="eastAsia" w:ascii="宋体" w:hAnsi="宋体" w:cs="宋体"/>
              </w:rPr>
              <w:t>投标人响应描述</w:t>
            </w:r>
          </w:p>
        </w:tc>
        <w:tc>
          <w:tcPr>
            <w:tcW w:w="1289" w:type="dxa"/>
            <w:shd w:val="clear" w:color="auto" w:fill="EEECE1"/>
            <w:vAlign w:val="center"/>
          </w:tcPr>
          <w:p>
            <w:pPr>
              <w:jc w:val="center"/>
              <w:rPr>
                <w:rFonts w:ascii="宋体" w:hAnsi="宋体" w:cs="宋体"/>
              </w:rPr>
            </w:pPr>
            <w:r>
              <w:rPr>
                <w:rFonts w:hint="eastAsia" w:ascii="宋体" w:hAnsi="宋体" w:cs="宋体"/>
              </w:rPr>
              <w:t>偏离情况说明</w:t>
            </w:r>
          </w:p>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vAlign w:val="center"/>
          </w:tcPr>
          <w:p>
            <w:pPr>
              <w:ind w:left="142"/>
            </w:pPr>
            <w:r>
              <w:rPr>
                <w:rFonts w:hint="eastAsia"/>
              </w:rPr>
              <w:t>1</w:t>
            </w:r>
          </w:p>
        </w:tc>
        <w:tc>
          <w:tcPr>
            <w:tcW w:w="6152" w:type="dxa"/>
            <w:vAlign w:val="center"/>
          </w:tcPr>
          <w:p>
            <w:pPr>
              <w:pStyle w:val="17"/>
              <w:spacing w:before="0" w:beforeAutospacing="0" w:after="0" w:afterAutospacing="0"/>
              <w:ind w:firstLine="422" w:firstLineChars="200"/>
              <w:jc w:val="both"/>
              <w:rPr>
                <w:b/>
                <w:sz w:val="21"/>
                <w:szCs w:val="21"/>
              </w:rPr>
            </w:pPr>
            <w:r>
              <w:rPr>
                <w:rFonts w:hint="eastAsia"/>
                <w:b/>
                <w:sz w:val="21"/>
                <w:szCs w:val="21"/>
              </w:rPr>
              <w:t>二、技术要求</w:t>
            </w:r>
          </w:p>
          <w:p>
            <w:pPr>
              <w:pStyle w:val="17"/>
              <w:spacing w:before="0" w:beforeAutospacing="0" w:after="0" w:afterAutospacing="0"/>
              <w:ind w:firstLine="420" w:firstLineChars="200"/>
              <w:rPr>
                <w:sz w:val="21"/>
                <w:szCs w:val="21"/>
              </w:rPr>
            </w:pPr>
            <w:r>
              <w:rPr>
                <w:rFonts w:hint="eastAsia"/>
                <w:sz w:val="21"/>
                <w:szCs w:val="21"/>
              </w:rPr>
              <w:t>（一）前海及国内外重点城市调查、城市运营的政策梳理和分析</w:t>
            </w:r>
          </w:p>
          <w:p>
            <w:pPr>
              <w:pStyle w:val="17"/>
              <w:spacing w:before="0" w:beforeAutospacing="0" w:after="0" w:afterAutospacing="0"/>
              <w:ind w:firstLine="420" w:firstLineChars="200"/>
              <w:rPr>
                <w:sz w:val="21"/>
                <w:szCs w:val="21"/>
              </w:rPr>
            </w:pPr>
            <w:r>
              <w:rPr>
                <w:rFonts w:hint="eastAsia"/>
                <w:sz w:val="21"/>
                <w:szCs w:val="21"/>
              </w:rPr>
              <w:t>针对香港、北京、上海、新加坡、美国拉斯维加斯等国内外先进地区的城市运营经验进行详细梳理，结合各地城市运营经验，总结分析前海在城市发展新阶段将会呈现城市运营系统化特征，以及国内外成功经验带来的启示借鉴。</w:t>
            </w:r>
          </w:p>
        </w:tc>
        <w:tc>
          <w:tcPr>
            <w:tcW w:w="992" w:type="dxa"/>
            <w:vAlign w:val="center"/>
          </w:tcPr>
          <w:p>
            <w:pPr>
              <w:jc w:val="left"/>
              <w:rPr>
                <w:rFonts w:ascii="宋体" w:hAnsi="宋体" w:cs="宋体"/>
              </w:rPr>
            </w:pPr>
            <w:r>
              <w:rPr>
                <w:rFonts w:hint="eastAsia" w:ascii="宋体" w:hAnsi="宋体" w:cs="Arial"/>
                <w:b/>
                <w:sz w:val="18"/>
                <w:szCs w:val="18"/>
              </w:rPr>
              <w:t>（投标人根据自身实际情况逐条进行响应，并填写响应的具体内容）</w:t>
            </w:r>
          </w:p>
        </w:tc>
        <w:tc>
          <w:tcPr>
            <w:tcW w:w="1289" w:type="dxa"/>
            <w:vAlign w:val="center"/>
          </w:tcPr>
          <w:p>
            <w:pPr>
              <w:jc w:val="left"/>
              <w:rPr>
                <w:rFonts w:ascii="宋体" w:hAnsi="宋体" w:cs="宋体"/>
              </w:rPr>
            </w:pPr>
            <w:r>
              <w:rPr>
                <w:rFonts w:hint="eastAsia" w:ascii="宋体" w:hAnsi="宋体" w:cs="宋体"/>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vAlign w:val="center"/>
          </w:tcPr>
          <w:p>
            <w:pPr>
              <w:tabs>
                <w:tab w:val="center" w:pos="183"/>
              </w:tabs>
              <w:ind w:left="142"/>
              <w:rPr>
                <w:rFonts w:ascii="宋体" w:hAnsi="宋体" w:cs="宋体"/>
                <w:szCs w:val="21"/>
              </w:rPr>
            </w:pPr>
            <w:r>
              <w:rPr>
                <w:rFonts w:hint="eastAsia" w:ascii="宋体" w:hAnsi="宋体" w:cs="宋体"/>
                <w:szCs w:val="21"/>
              </w:rPr>
              <w:t>2</w:t>
            </w:r>
          </w:p>
        </w:tc>
        <w:tc>
          <w:tcPr>
            <w:tcW w:w="6152" w:type="dxa"/>
            <w:vAlign w:val="center"/>
          </w:tcPr>
          <w:p>
            <w:pPr>
              <w:pStyle w:val="17"/>
              <w:spacing w:before="0" w:beforeAutospacing="0" w:after="0" w:afterAutospacing="0"/>
              <w:ind w:firstLine="422" w:firstLineChars="200"/>
              <w:jc w:val="both"/>
              <w:rPr>
                <w:b/>
                <w:sz w:val="21"/>
                <w:szCs w:val="21"/>
              </w:rPr>
            </w:pPr>
            <w:r>
              <w:rPr>
                <w:rFonts w:hint="eastAsia"/>
                <w:b/>
                <w:sz w:val="21"/>
                <w:szCs w:val="21"/>
              </w:rPr>
              <w:t>（二）</w:t>
            </w:r>
            <w:r>
              <w:rPr>
                <w:rFonts w:hint="eastAsia"/>
                <w:bCs/>
                <w:sz w:val="21"/>
                <w:szCs w:val="21"/>
              </w:rPr>
              <w:t>前海开发建设运营核心症结及影响要素研判</w:t>
            </w:r>
          </w:p>
          <w:p>
            <w:pPr>
              <w:pStyle w:val="17"/>
              <w:spacing w:before="0" w:beforeAutospacing="0" w:after="0" w:afterAutospacing="0"/>
              <w:ind w:firstLine="420" w:firstLineChars="200"/>
              <w:jc w:val="both"/>
              <w:rPr>
                <w:bCs/>
                <w:sz w:val="21"/>
                <w:szCs w:val="21"/>
              </w:rPr>
            </w:pPr>
            <w:r>
              <w:rPr>
                <w:rFonts w:hint="eastAsia"/>
                <w:bCs/>
                <w:sz w:val="21"/>
                <w:szCs w:val="21"/>
              </w:rPr>
              <w:t>通过实地调研访谈和资料收集，总结分析前海合作区的土地供应方式，单元开发模式，城市地下空间开发模式、城市慢行系统、生态系统建设，以及停车场等公共服务设施配套建设的现状城市开发建设思路、存在问题与未来城市运营核心诉求。</w:t>
            </w:r>
          </w:p>
          <w:p>
            <w:pPr>
              <w:pStyle w:val="17"/>
              <w:spacing w:before="0" w:beforeAutospacing="0" w:after="0" w:afterAutospacing="0"/>
              <w:ind w:firstLine="420" w:firstLineChars="200"/>
              <w:jc w:val="both"/>
              <w:rPr>
                <w:sz w:val="21"/>
                <w:szCs w:val="21"/>
              </w:rPr>
            </w:pPr>
            <w:r>
              <w:rPr>
                <w:rFonts w:hint="eastAsia"/>
                <w:bCs/>
                <w:sz w:val="21"/>
                <w:szCs w:val="21"/>
              </w:rPr>
              <w:t>结合先进地区的城市运营经验，以及前海合作区自身城市开发建设运营需求，围绕运营主体、运营内容、运营模式等方面，结合TOD开发、BOT开发等城市开发运营理论，提出针对前海合作区城市开发建设运营的关键影响要素及优化思路。</w:t>
            </w:r>
          </w:p>
        </w:tc>
        <w:tc>
          <w:tcPr>
            <w:tcW w:w="992" w:type="dxa"/>
            <w:vAlign w:val="center"/>
          </w:tcPr>
          <w:p>
            <w:pPr>
              <w:ind w:firstLine="361" w:firstLineChars="200"/>
              <w:rPr>
                <w:rFonts w:ascii="宋体" w:hAnsi="宋体" w:cs="Arial"/>
                <w:b/>
                <w:sz w:val="18"/>
                <w:szCs w:val="18"/>
              </w:rPr>
            </w:pPr>
          </w:p>
        </w:tc>
        <w:tc>
          <w:tcPr>
            <w:tcW w:w="1289" w:type="dxa"/>
            <w:vAlign w:val="center"/>
          </w:tcPr>
          <w:p>
            <w:pPr>
              <w:ind w:firstLine="420" w:firstLineChars="200"/>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vAlign w:val="center"/>
          </w:tcPr>
          <w:p>
            <w:pPr>
              <w:rPr>
                <w:rFonts w:ascii="宋体" w:hAnsi="宋体" w:cs="宋体"/>
                <w:szCs w:val="21"/>
              </w:rPr>
            </w:pPr>
            <w:r>
              <w:rPr>
                <w:rFonts w:hint="eastAsia" w:ascii="宋体" w:hAnsi="宋体" w:cs="宋体"/>
                <w:szCs w:val="21"/>
              </w:rPr>
              <w:t xml:space="preserve"> 3</w:t>
            </w:r>
          </w:p>
        </w:tc>
        <w:tc>
          <w:tcPr>
            <w:tcW w:w="6152" w:type="dxa"/>
            <w:vAlign w:val="center"/>
          </w:tcPr>
          <w:p>
            <w:pPr>
              <w:pStyle w:val="17"/>
              <w:spacing w:before="0" w:beforeAutospacing="0" w:after="0" w:afterAutospacing="0"/>
              <w:ind w:firstLine="422" w:firstLineChars="200"/>
              <w:jc w:val="both"/>
              <w:rPr>
                <w:b/>
                <w:sz w:val="21"/>
                <w:szCs w:val="21"/>
              </w:rPr>
            </w:pPr>
            <w:r>
              <w:rPr>
                <w:rFonts w:hint="eastAsia"/>
                <w:b/>
                <w:sz w:val="21"/>
                <w:szCs w:val="21"/>
              </w:rPr>
              <w:t>（三）</w:t>
            </w:r>
            <w:r>
              <w:rPr>
                <w:rFonts w:hint="eastAsia"/>
                <w:bCs/>
                <w:sz w:val="21"/>
                <w:szCs w:val="21"/>
              </w:rPr>
              <w:t>前海复合型“城市运营商”核心理念研究</w:t>
            </w:r>
          </w:p>
          <w:p>
            <w:pPr>
              <w:pStyle w:val="17"/>
              <w:spacing w:before="0" w:beforeAutospacing="0" w:after="0" w:afterAutospacing="0"/>
              <w:ind w:firstLine="420" w:firstLineChars="200"/>
              <w:rPr>
                <w:snapToGrid w:val="0"/>
                <w:sz w:val="21"/>
                <w:szCs w:val="21"/>
              </w:rPr>
            </w:pPr>
            <w:r>
              <w:rPr>
                <w:rFonts w:hint="eastAsia"/>
                <w:bCs/>
                <w:sz w:val="21"/>
                <w:szCs w:val="21"/>
              </w:rPr>
              <w:t>借鉴香港及</w:t>
            </w:r>
            <w:r>
              <w:rPr>
                <w:bCs/>
                <w:sz w:val="21"/>
                <w:szCs w:val="21"/>
              </w:rPr>
              <w:t>国内外</w:t>
            </w:r>
            <w:r>
              <w:rPr>
                <w:rFonts w:hint="eastAsia"/>
                <w:bCs/>
                <w:sz w:val="21"/>
                <w:szCs w:val="21"/>
              </w:rPr>
              <w:t>其他地区</w:t>
            </w:r>
            <w:r>
              <w:rPr>
                <w:bCs/>
                <w:sz w:val="21"/>
                <w:szCs w:val="21"/>
              </w:rPr>
              <w:t>先进经验</w:t>
            </w:r>
            <w:r>
              <w:rPr>
                <w:rFonts w:hint="eastAsia"/>
                <w:bCs/>
                <w:sz w:val="21"/>
                <w:szCs w:val="21"/>
              </w:rPr>
              <w:t>、</w:t>
            </w:r>
            <w:r>
              <w:rPr>
                <w:bCs/>
                <w:sz w:val="21"/>
                <w:szCs w:val="21"/>
              </w:rPr>
              <w:t>以及前海城市运营自身发展诉求和影响要素</w:t>
            </w:r>
            <w:r>
              <w:rPr>
                <w:rFonts w:hint="eastAsia"/>
                <w:bCs/>
                <w:sz w:val="21"/>
                <w:szCs w:val="21"/>
              </w:rPr>
              <w:t>，</w:t>
            </w:r>
            <w:r>
              <w:rPr>
                <w:bCs/>
                <w:sz w:val="21"/>
                <w:szCs w:val="21"/>
              </w:rPr>
              <w:t>提出针对高密度特大城市核心区的复合型</w:t>
            </w:r>
            <w:r>
              <w:rPr>
                <w:rFonts w:hint="eastAsia"/>
                <w:bCs/>
                <w:sz w:val="21"/>
                <w:szCs w:val="21"/>
              </w:rPr>
              <w:t>”城市运营商”模式，创新构建前海合作区在新阶段城市系统化网络化运营理念。</w:t>
            </w:r>
          </w:p>
        </w:tc>
        <w:tc>
          <w:tcPr>
            <w:tcW w:w="992" w:type="dxa"/>
            <w:vAlign w:val="center"/>
          </w:tcPr>
          <w:p>
            <w:pPr>
              <w:ind w:firstLine="420" w:firstLineChars="200"/>
              <w:rPr>
                <w:rFonts w:ascii="宋体" w:hAnsi="宋体" w:cs="宋体"/>
              </w:rPr>
            </w:pPr>
          </w:p>
        </w:tc>
        <w:tc>
          <w:tcPr>
            <w:tcW w:w="1289" w:type="dxa"/>
            <w:vAlign w:val="center"/>
          </w:tcPr>
          <w:p>
            <w:pPr>
              <w:ind w:firstLine="420" w:firstLineChars="200"/>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582" w:type="dxa"/>
            <w:vAlign w:val="center"/>
          </w:tcPr>
          <w:p>
            <w:pPr>
              <w:ind w:left="142"/>
              <w:rPr>
                <w:rFonts w:ascii="宋体" w:hAnsi="宋体" w:cs="宋体"/>
                <w:szCs w:val="21"/>
              </w:rPr>
            </w:pPr>
            <w:r>
              <w:rPr>
                <w:rFonts w:hint="eastAsia" w:ascii="宋体" w:hAnsi="宋体" w:cs="宋体"/>
                <w:szCs w:val="21"/>
              </w:rPr>
              <w:t>4</w:t>
            </w:r>
          </w:p>
        </w:tc>
        <w:tc>
          <w:tcPr>
            <w:tcW w:w="6152" w:type="dxa"/>
            <w:vAlign w:val="center"/>
          </w:tcPr>
          <w:p>
            <w:pPr>
              <w:pStyle w:val="17"/>
              <w:spacing w:before="0" w:beforeAutospacing="0" w:after="0" w:afterAutospacing="0"/>
              <w:ind w:firstLine="422" w:firstLineChars="200"/>
              <w:jc w:val="both"/>
              <w:rPr>
                <w:b/>
                <w:sz w:val="21"/>
                <w:szCs w:val="21"/>
              </w:rPr>
            </w:pPr>
            <w:r>
              <w:rPr>
                <w:rFonts w:hint="eastAsia"/>
                <w:b/>
                <w:sz w:val="21"/>
                <w:szCs w:val="21"/>
              </w:rPr>
              <w:t>（四）</w:t>
            </w:r>
            <w:r>
              <w:rPr>
                <w:rFonts w:hint="eastAsia"/>
                <w:bCs/>
                <w:sz w:val="21"/>
                <w:szCs w:val="21"/>
              </w:rPr>
              <w:t>前海复合型“城市运营商”模式研究</w:t>
            </w:r>
          </w:p>
          <w:p>
            <w:pPr>
              <w:pStyle w:val="17"/>
              <w:spacing w:before="0" w:beforeAutospacing="0" w:after="0" w:afterAutospacing="0"/>
              <w:ind w:firstLine="420" w:firstLineChars="200"/>
              <w:rPr>
                <w:bCs/>
                <w:sz w:val="21"/>
                <w:szCs w:val="21"/>
              </w:rPr>
            </w:pPr>
            <w:r>
              <w:rPr>
                <w:rFonts w:hint="eastAsia"/>
                <w:bCs/>
                <w:sz w:val="21"/>
                <w:szCs w:val="21"/>
              </w:rPr>
              <w:t>结合前海合作区现有的政府各相关部门工作职能，理顺新型“城市运营商”模式中各部门工作要点及衔接机制。同时结合深圳现有的市场主体参与成片开发建设运营的实施路径，提出该模式下开发商与产业主体等市场主体的职能转换与调控思路。</w:t>
            </w:r>
          </w:p>
          <w:p>
            <w:pPr>
              <w:pStyle w:val="17"/>
              <w:spacing w:before="0" w:beforeAutospacing="0" w:after="0" w:afterAutospacing="0"/>
              <w:ind w:firstLine="420" w:firstLineChars="200"/>
              <w:rPr>
                <w:snapToGrid w:val="0"/>
                <w:sz w:val="21"/>
                <w:szCs w:val="21"/>
              </w:rPr>
            </w:pPr>
            <w:r>
              <w:rPr>
                <w:rFonts w:hint="eastAsia"/>
                <w:bCs/>
                <w:sz w:val="21"/>
                <w:szCs w:val="21"/>
              </w:rPr>
              <w:t>结合前海单元开发、立体化开发、带方案出让等已有的创新特点，构建基于前海未来发展的城市运营网络，研判该网络中的核心内容和影响要素，以及各要素之间的相互作用，提出前海”城市运营商”模式研究的重点。三是基于不同情形的运营模式选择与优化研判：根据前海不同阶段发展诉求和特征，提出逐渐从“政府+全资国企”模式，再发展到由国企主导模式，再到“政府+社会企业”合作模式探讨，最后构建系统化复合型的城市片区开发运营模式。</w:t>
            </w:r>
          </w:p>
        </w:tc>
        <w:tc>
          <w:tcPr>
            <w:tcW w:w="992" w:type="dxa"/>
            <w:vAlign w:val="center"/>
          </w:tcPr>
          <w:p>
            <w:pPr>
              <w:ind w:firstLine="420" w:firstLineChars="200"/>
              <w:rPr>
                <w:rFonts w:ascii="宋体" w:hAnsi="宋体" w:cs="宋体"/>
              </w:rPr>
            </w:pPr>
          </w:p>
        </w:tc>
        <w:tc>
          <w:tcPr>
            <w:tcW w:w="1289" w:type="dxa"/>
            <w:vAlign w:val="center"/>
          </w:tcPr>
          <w:p>
            <w:pPr>
              <w:ind w:firstLine="420" w:firstLineChars="200"/>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vAlign w:val="center"/>
          </w:tcPr>
          <w:p>
            <w:pPr>
              <w:ind w:left="142"/>
              <w:rPr>
                <w:rFonts w:ascii="宋体" w:hAnsi="宋体" w:cs="宋体"/>
                <w:szCs w:val="21"/>
              </w:rPr>
            </w:pPr>
            <w:r>
              <w:rPr>
                <w:rFonts w:hint="eastAsia" w:ascii="宋体" w:hAnsi="宋体" w:cs="宋体"/>
                <w:szCs w:val="21"/>
              </w:rPr>
              <w:t>5</w:t>
            </w:r>
          </w:p>
        </w:tc>
        <w:tc>
          <w:tcPr>
            <w:tcW w:w="6152" w:type="dxa"/>
            <w:vAlign w:val="center"/>
          </w:tcPr>
          <w:p>
            <w:pPr>
              <w:pStyle w:val="17"/>
              <w:spacing w:before="0" w:beforeAutospacing="0" w:after="0" w:afterAutospacing="0"/>
              <w:ind w:firstLine="422" w:firstLineChars="200"/>
              <w:jc w:val="both"/>
              <w:rPr>
                <w:b/>
                <w:sz w:val="21"/>
                <w:szCs w:val="21"/>
              </w:rPr>
            </w:pPr>
            <w:r>
              <w:rPr>
                <w:rFonts w:hint="eastAsia"/>
                <w:b/>
                <w:sz w:val="21"/>
                <w:szCs w:val="21"/>
              </w:rPr>
              <w:t>（五）</w:t>
            </w:r>
            <w:r>
              <w:rPr>
                <w:rFonts w:hint="eastAsia"/>
                <w:bCs/>
                <w:sz w:val="21"/>
                <w:szCs w:val="21"/>
              </w:rPr>
              <w:t>前海“城市运营商”开发建设运营政策建议</w:t>
            </w:r>
          </w:p>
          <w:p>
            <w:pPr>
              <w:pStyle w:val="17"/>
              <w:spacing w:before="0" w:beforeAutospacing="0" w:after="0" w:afterAutospacing="0"/>
              <w:ind w:firstLine="420" w:firstLineChars="200"/>
              <w:rPr>
                <w:bCs/>
                <w:sz w:val="21"/>
                <w:szCs w:val="21"/>
              </w:rPr>
            </w:pPr>
            <w:r>
              <w:rPr>
                <w:bCs/>
                <w:sz w:val="21"/>
                <w:szCs w:val="21"/>
              </w:rPr>
              <w:t>结合前海现有的政策环境与政策基础</w:t>
            </w:r>
            <w:r>
              <w:rPr>
                <w:rFonts w:hint="eastAsia"/>
                <w:bCs/>
                <w:sz w:val="21"/>
                <w:szCs w:val="21"/>
              </w:rPr>
              <w:t>，</w:t>
            </w:r>
            <w:r>
              <w:rPr>
                <w:bCs/>
                <w:sz w:val="21"/>
                <w:szCs w:val="21"/>
              </w:rPr>
              <w:t>研判前海</w:t>
            </w:r>
            <w:r>
              <w:rPr>
                <w:rFonts w:hint="eastAsia"/>
                <w:bCs/>
                <w:sz w:val="21"/>
                <w:szCs w:val="21"/>
              </w:rPr>
              <w:t>“城市运营商”可衔接的政策要点。</w:t>
            </w:r>
          </w:p>
          <w:p>
            <w:pPr>
              <w:pStyle w:val="17"/>
              <w:spacing w:before="0" w:beforeAutospacing="0" w:after="0" w:afterAutospacing="0"/>
              <w:ind w:firstLine="420" w:firstLineChars="200"/>
              <w:rPr>
                <w:snapToGrid w:val="0"/>
                <w:sz w:val="21"/>
                <w:szCs w:val="21"/>
              </w:rPr>
            </w:pPr>
            <w:r>
              <w:rPr>
                <w:bCs/>
                <w:sz w:val="21"/>
                <w:szCs w:val="21"/>
              </w:rPr>
              <w:t>基于上述研究成果</w:t>
            </w:r>
            <w:r>
              <w:rPr>
                <w:rFonts w:hint="eastAsia"/>
                <w:bCs/>
                <w:sz w:val="21"/>
                <w:szCs w:val="21"/>
              </w:rPr>
              <w:t>，</w:t>
            </w:r>
            <w:r>
              <w:rPr>
                <w:bCs/>
                <w:sz w:val="21"/>
                <w:szCs w:val="21"/>
              </w:rPr>
              <w:t>结合</w:t>
            </w:r>
            <w:r>
              <w:rPr>
                <w:rFonts w:hint="eastAsia"/>
                <w:bCs/>
                <w:sz w:val="21"/>
                <w:szCs w:val="21"/>
              </w:rPr>
              <w:t>可衔接</w:t>
            </w:r>
            <w:r>
              <w:rPr>
                <w:bCs/>
                <w:sz w:val="21"/>
                <w:szCs w:val="21"/>
              </w:rPr>
              <w:t>的政策要点</w:t>
            </w:r>
            <w:r>
              <w:rPr>
                <w:rFonts w:hint="eastAsia"/>
                <w:bCs/>
                <w:sz w:val="21"/>
                <w:szCs w:val="21"/>
              </w:rPr>
              <w:t>，</w:t>
            </w:r>
            <w:r>
              <w:rPr>
                <w:bCs/>
                <w:sz w:val="21"/>
                <w:szCs w:val="21"/>
              </w:rPr>
              <w:t>从运营主体</w:t>
            </w:r>
            <w:r>
              <w:rPr>
                <w:rFonts w:hint="eastAsia"/>
                <w:bCs/>
                <w:sz w:val="21"/>
                <w:szCs w:val="21"/>
              </w:rPr>
              <w:t>、</w:t>
            </w:r>
            <w:r>
              <w:rPr>
                <w:bCs/>
                <w:sz w:val="21"/>
                <w:szCs w:val="21"/>
              </w:rPr>
              <w:t>运营内容</w:t>
            </w:r>
            <w:r>
              <w:rPr>
                <w:rFonts w:hint="eastAsia"/>
                <w:bCs/>
                <w:sz w:val="21"/>
                <w:szCs w:val="21"/>
              </w:rPr>
              <w:t>、</w:t>
            </w:r>
            <w:r>
              <w:rPr>
                <w:bCs/>
                <w:sz w:val="21"/>
                <w:szCs w:val="21"/>
              </w:rPr>
              <w:t>运营模式等方面</w:t>
            </w:r>
            <w:r>
              <w:rPr>
                <w:rFonts w:hint="eastAsia"/>
                <w:bCs/>
                <w:sz w:val="21"/>
                <w:szCs w:val="21"/>
              </w:rPr>
              <w:t>，</w:t>
            </w:r>
            <w:r>
              <w:rPr>
                <w:bCs/>
                <w:sz w:val="21"/>
                <w:szCs w:val="21"/>
              </w:rPr>
              <w:t>提出兼具理论高度和实操可行性的实施建议</w:t>
            </w:r>
            <w:r>
              <w:rPr>
                <w:rFonts w:hint="eastAsia"/>
                <w:bCs/>
                <w:sz w:val="21"/>
                <w:szCs w:val="21"/>
              </w:rPr>
              <w:t>，</w:t>
            </w:r>
            <w:r>
              <w:rPr>
                <w:bCs/>
                <w:sz w:val="21"/>
                <w:szCs w:val="21"/>
              </w:rPr>
              <w:t>并总结形成前海新型</w:t>
            </w:r>
            <w:r>
              <w:rPr>
                <w:rFonts w:hint="eastAsia"/>
                <w:bCs/>
                <w:sz w:val="21"/>
                <w:szCs w:val="21"/>
              </w:rPr>
              <w:t>”城市运营商”模式</w:t>
            </w:r>
            <w:r>
              <w:rPr>
                <w:bCs/>
                <w:sz w:val="21"/>
                <w:szCs w:val="21"/>
              </w:rPr>
              <w:t>改革创新要点</w:t>
            </w:r>
            <w:r>
              <w:rPr>
                <w:rFonts w:hint="eastAsia"/>
                <w:bCs/>
                <w:sz w:val="21"/>
                <w:szCs w:val="21"/>
              </w:rPr>
              <w:t>。</w:t>
            </w:r>
          </w:p>
        </w:tc>
        <w:tc>
          <w:tcPr>
            <w:tcW w:w="992" w:type="dxa"/>
            <w:vAlign w:val="center"/>
          </w:tcPr>
          <w:p>
            <w:pPr>
              <w:ind w:firstLine="420" w:firstLineChars="200"/>
              <w:rPr>
                <w:rFonts w:ascii="宋体" w:hAnsi="宋体" w:cs="宋体"/>
              </w:rPr>
            </w:pPr>
          </w:p>
        </w:tc>
        <w:tc>
          <w:tcPr>
            <w:tcW w:w="1289" w:type="dxa"/>
            <w:vAlign w:val="center"/>
          </w:tcPr>
          <w:p>
            <w:pPr>
              <w:ind w:firstLine="420" w:firstLineChars="200"/>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vAlign w:val="center"/>
          </w:tcPr>
          <w:p>
            <w:pPr>
              <w:ind w:left="142"/>
              <w:rPr>
                <w:rFonts w:ascii="宋体" w:hAnsi="宋体" w:cs="宋体"/>
                <w:szCs w:val="21"/>
              </w:rPr>
            </w:pPr>
            <w:r>
              <w:rPr>
                <w:rFonts w:hint="eastAsia" w:ascii="宋体" w:hAnsi="宋体" w:cs="宋体"/>
                <w:szCs w:val="21"/>
              </w:rPr>
              <w:t>6</w:t>
            </w:r>
          </w:p>
        </w:tc>
        <w:tc>
          <w:tcPr>
            <w:tcW w:w="6152" w:type="dxa"/>
            <w:vAlign w:val="center"/>
          </w:tcPr>
          <w:p>
            <w:pPr>
              <w:rPr>
                <w:rFonts w:ascii="宋体" w:hAnsi="宋体" w:cs="宋体"/>
                <w:b/>
                <w:szCs w:val="21"/>
              </w:rPr>
            </w:pPr>
            <w:r>
              <w:rPr>
                <w:rFonts w:hint="eastAsia" w:ascii="宋体" w:hAnsi="宋体" w:cs="宋体"/>
                <w:b/>
                <w:szCs w:val="21"/>
              </w:rPr>
              <w:t>三、商务要求</w:t>
            </w:r>
          </w:p>
          <w:p>
            <w:pPr>
              <w:widowControl/>
              <w:ind w:firstLine="422" w:firstLineChars="200"/>
              <w:rPr>
                <w:rFonts w:ascii="宋体" w:hAnsi="宋体" w:cs="宋体"/>
                <w:b/>
                <w:bCs/>
                <w:szCs w:val="21"/>
              </w:rPr>
            </w:pPr>
            <w:r>
              <w:rPr>
                <w:rFonts w:hint="eastAsia" w:ascii="宋体" w:hAnsi="宋体" w:cs="宋体"/>
                <w:b/>
                <w:bCs/>
                <w:szCs w:val="21"/>
              </w:rPr>
              <w:t>（一）项目服务期限</w:t>
            </w:r>
          </w:p>
          <w:p>
            <w:pPr>
              <w:widowControl/>
              <w:ind w:firstLine="420" w:firstLineChars="200"/>
              <w:rPr>
                <w:rFonts w:ascii="宋体" w:hAnsi="宋体" w:cs="宋体"/>
                <w:bCs/>
                <w:szCs w:val="21"/>
              </w:rPr>
            </w:pPr>
            <w:r>
              <w:rPr>
                <w:rFonts w:hint="eastAsia" w:ascii="宋体" w:hAnsi="宋体" w:cs="宋体"/>
                <w:bCs/>
                <w:szCs w:val="21"/>
              </w:rPr>
              <w:t>本项目服务期为自合同签订日起一年。自</w:t>
            </w:r>
            <w:r>
              <w:rPr>
                <w:rFonts w:hint="eastAsia" w:ascii="宋体" w:hAnsi="宋体" w:cs="宋体"/>
                <w:szCs w:val="21"/>
              </w:rPr>
              <w:t>中标人</w:t>
            </w:r>
            <w:r>
              <w:rPr>
                <w:rFonts w:hint="eastAsia" w:ascii="宋体" w:hAnsi="宋体" w:cs="宋体"/>
                <w:bCs/>
                <w:szCs w:val="21"/>
              </w:rPr>
              <w:t>提交的最终成果通过验收之日起一年内为后续服务期，提供对本项目工作成果的咨询等后续服务。服务期内</w:t>
            </w:r>
            <w:r>
              <w:rPr>
                <w:rFonts w:hint="eastAsia" w:ascii="宋体" w:hAnsi="宋体" w:cs="宋体"/>
                <w:szCs w:val="21"/>
              </w:rPr>
              <w:t>中标人</w:t>
            </w:r>
            <w:r>
              <w:rPr>
                <w:rFonts w:hint="eastAsia" w:ascii="宋体" w:hAnsi="宋体" w:cs="宋体"/>
                <w:bCs/>
                <w:szCs w:val="21"/>
              </w:rPr>
              <w:t>应与采购人保持全面沟通，提供技术服务支持。后续服务期内，</w:t>
            </w:r>
            <w:r>
              <w:rPr>
                <w:rFonts w:hint="eastAsia" w:ascii="宋体" w:hAnsi="宋体" w:cs="宋体"/>
                <w:szCs w:val="21"/>
              </w:rPr>
              <w:t>中标人</w:t>
            </w:r>
            <w:r>
              <w:rPr>
                <w:rFonts w:hint="eastAsia" w:ascii="宋体" w:hAnsi="宋体" w:cs="宋体"/>
                <w:bCs/>
                <w:szCs w:val="21"/>
              </w:rPr>
              <w:t>应向采购人提供后续的专业技术支持与咨询服务，</w:t>
            </w:r>
            <w:r>
              <w:rPr>
                <w:rFonts w:hint="eastAsia" w:ascii="宋体" w:hAnsi="宋体" w:cs="宋体"/>
                <w:szCs w:val="21"/>
              </w:rPr>
              <w:t>中标人</w:t>
            </w:r>
            <w:r>
              <w:rPr>
                <w:rFonts w:hint="eastAsia" w:ascii="宋体" w:hAnsi="宋体" w:cs="宋体"/>
                <w:bCs/>
                <w:szCs w:val="21"/>
              </w:rPr>
              <w:t>应自收到采购人咨询起24小时以内予以回复。</w:t>
            </w:r>
          </w:p>
          <w:p>
            <w:pPr>
              <w:widowControl/>
              <w:ind w:firstLine="315" w:firstLineChars="150"/>
              <w:rPr>
                <w:rFonts w:ascii="宋体" w:hAnsi="宋体" w:cs="宋体"/>
                <w:bCs/>
                <w:szCs w:val="21"/>
              </w:rPr>
            </w:pPr>
            <w:r>
              <w:rPr>
                <w:rFonts w:hint="eastAsia" w:ascii="宋体" w:hAnsi="宋体" w:cs="宋体"/>
                <w:bCs/>
                <w:szCs w:val="21"/>
              </w:rPr>
              <w:t>自合同签订之日起8个月内，中标人向采购人提交本合同项下《前海“城市运营商”模式策略研究（暂定名）》等全部成果初稿，采购人在收到成果初稿后5个工作日内进行研究并提出修改意见。  自收到修改意见之日起【5】日内，投标人应根据修改意见对全部成果初稿进行修改。</w:t>
            </w:r>
          </w:p>
          <w:p>
            <w:pPr>
              <w:widowControl/>
              <w:ind w:firstLine="420" w:firstLineChars="200"/>
              <w:rPr>
                <w:rFonts w:ascii="宋体" w:hAnsi="宋体" w:cs="宋体"/>
                <w:snapToGrid w:val="0"/>
                <w:kern w:val="0"/>
                <w:szCs w:val="21"/>
              </w:rPr>
            </w:pPr>
            <w:r>
              <w:rPr>
                <w:rFonts w:hint="eastAsia" w:ascii="宋体" w:hAnsi="宋体" w:cs="宋体"/>
                <w:bCs/>
                <w:szCs w:val="21"/>
              </w:rPr>
              <w:t>自合同签订之日起10个月内，中标人向采购人提交本合同项下《前海“城市运营商”模式策略研究（暂定名）》等全部成果终稿，采购人在收到成果终稿后5个工作日内进行研究并提出修改意见。自收到修改意见之日起【5】日内，中标人应根据修改意见对全部成果终稿进行修改。</w:t>
            </w:r>
          </w:p>
        </w:tc>
        <w:tc>
          <w:tcPr>
            <w:tcW w:w="992" w:type="dxa"/>
            <w:vAlign w:val="center"/>
          </w:tcPr>
          <w:p>
            <w:pPr>
              <w:ind w:firstLine="420" w:firstLineChars="200"/>
              <w:rPr>
                <w:rFonts w:ascii="宋体" w:hAnsi="宋体" w:cs="宋体"/>
              </w:rPr>
            </w:pPr>
          </w:p>
        </w:tc>
        <w:tc>
          <w:tcPr>
            <w:tcW w:w="1289" w:type="dxa"/>
            <w:vAlign w:val="center"/>
          </w:tcPr>
          <w:p>
            <w:pPr>
              <w:ind w:firstLine="420" w:firstLineChars="200"/>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582" w:type="dxa"/>
            <w:vAlign w:val="center"/>
          </w:tcPr>
          <w:p>
            <w:pPr>
              <w:rPr>
                <w:rFonts w:ascii="宋体" w:hAnsi="宋体" w:cs="宋体"/>
                <w:szCs w:val="21"/>
              </w:rPr>
            </w:pPr>
            <w:r>
              <w:rPr>
                <w:rFonts w:hint="eastAsia" w:ascii="宋体" w:hAnsi="宋体" w:cs="宋体"/>
                <w:szCs w:val="21"/>
              </w:rPr>
              <w:t>7</w:t>
            </w:r>
          </w:p>
        </w:tc>
        <w:tc>
          <w:tcPr>
            <w:tcW w:w="6152" w:type="dxa"/>
            <w:vAlign w:val="center"/>
          </w:tcPr>
          <w:p>
            <w:pPr>
              <w:pStyle w:val="17"/>
              <w:spacing w:before="0" w:beforeAutospacing="0" w:after="0" w:afterAutospacing="0"/>
              <w:ind w:firstLine="422" w:firstLineChars="200"/>
              <w:jc w:val="both"/>
              <w:rPr>
                <w:b/>
                <w:bCs/>
                <w:kern w:val="2"/>
                <w:sz w:val="21"/>
                <w:szCs w:val="21"/>
              </w:rPr>
            </w:pPr>
            <w:r>
              <w:rPr>
                <w:rFonts w:hint="eastAsia"/>
                <w:b/>
                <w:bCs/>
                <w:kern w:val="2"/>
                <w:sz w:val="21"/>
                <w:szCs w:val="21"/>
              </w:rPr>
              <w:t>（二）项目预算</w:t>
            </w:r>
          </w:p>
          <w:p>
            <w:pPr>
              <w:pStyle w:val="17"/>
              <w:spacing w:before="0" w:beforeAutospacing="0" w:after="0" w:afterAutospacing="0"/>
              <w:ind w:firstLine="420" w:firstLineChars="200"/>
              <w:jc w:val="both"/>
              <w:rPr>
                <w:snapToGrid w:val="0"/>
                <w:sz w:val="21"/>
                <w:szCs w:val="21"/>
              </w:rPr>
            </w:pPr>
            <w:r>
              <w:rPr>
                <w:rStyle w:val="44"/>
                <w:rFonts w:hint="eastAsia"/>
                <w:bCs/>
                <w:sz w:val="21"/>
                <w:szCs w:val="21"/>
              </w:rPr>
              <w:t>本项目招标总价控制为80</w:t>
            </w:r>
            <w:r>
              <w:rPr>
                <w:rStyle w:val="44"/>
                <w:bCs/>
                <w:sz w:val="21"/>
                <w:szCs w:val="21"/>
              </w:rPr>
              <w:t>万</w:t>
            </w:r>
            <w:r>
              <w:rPr>
                <w:rStyle w:val="44"/>
                <w:rFonts w:hint="eastAsia"/>
                <w:bCs/>
                <w:sz w:val="21"/>
                <w:szCs w:val="21"/>
              </w:rPr>
              <w:t>元，财政性资金100%。</w:t>
            </w:r>
          </w:p>
        </w:tc>
        <w:tc>
          <w:tcPr>
            <w:tcW w:w="992" w:type="dxa"/>
            <w:vAlign w:val="center"/>
          </w:tcPr>
          <w:p>
            <w:pPr>
              <w:ind w:firstLine="420" w:firstLineChars="200"/>
              <w:rPr>
                <w:rFonts w:ascii="宋体" w:hAnsi="宋体" w:cs="宋体"/>
              </w:rPr>
            </w:pPr>
          </w:p>
        </w:tc>
        <w:tc>
          <w:tcPr>
            <w:tcW w:w="1289" w:type="dxa"/>
            <w:vAlign w:val="center"/>
          </w:tcPr>
          <w:p>
            <w:pPr>
              <w:ind w:firstLine="420" w:firstLineChars="200"/>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vAlign w:val="center"/>
          </w:tcPr>
          <w:p>
            <w:pPr>
              <w:tabs>
                <w:tab w:val="left" w:pos="314"/>
              </w:tabs>
              <w:rPr>
                <w:rFonts w:ascii="宋体" w:hAnsi="宋体" w:cs="宋体"/>
                <w:szCs w:val="21"/>
              </w:rPr>
            </w:pPr>
            <w:r>
              <w:rPr>
                <w:rFonts w:hint="eastAsia" w:ascii="宋体" w:hAnsi="宋体" w:cs="宋体"/>
                <w:szCs w:val="21"/>
              </w:rPr>
              <w:t>8</w:t>
            </w:r>
          </w:p>
        </w:tc>
        <w:tc>
          <w:tcPr>
            <w:tcW w:w="6152" w:type="dxa"/>
            <w:vAlign w:val="center"/>
          </w:tcPr>
          <w:p>
            <w:pPr>
              <w:widowControl/>
              <w:ind w:firstLine="422" w:firstLineChars="200"/>
              <w:rPr>
                <w:rFonts w:ascii="宋体" w:hAnsi="宋体" w:cs="宋体"/>
                <w:b/>
                <w:bCs/>
                <w:szCs w:val="21"/>
              </w:rPr>
            </w:pPr>
            <w:r>
              <w:rPr>
                <w:rFonts w:hint="eastAsia" w:ascii="宋体" w:hAnsi="宋体" w:cs="宋体"/>
                <w:b/>
                <w:bCs/>
                <w:szCs w:val="21"/>
              </w:rPr>
              <w:t>（三）付款方式</w:t>
            </w:r>
          </w:p>
          <w:p>
            <w:pPr>
              <w:widowControl/>
              <w:ind w:firstLine="420" w:firstLineChars="200"/>
              <w:rPr>
                <w:rFonts w:ascii="宋体" w:hAnsi="宋体" w:cs="宋体"/>
                <w:szCs w:val="21"/>
              </w:rPr>
            </w:pPr>
            <w:r>
              <w:rPr>
                <w:rFonts w:hint="eastAsia" w:ascii="宋体" w:hAnsi="宋体" w:cs="宋体"/>
                <w:szCs w:val="21"/>
              </w:rPr>
              <w:t>合同价款由采购人分2期付至中标单位指定银行账户，支付比例为50%（签订合同之日起15个工作日内）、50%（中标人完成最终成果，并经采购人审查通过后）。</w:t>
            </w:r>
          </w:p>
        </w:tc>
        <w:tc>
          <w:tcPr>
            <w:tcW w:w="992" w:type="dxa"/>
            <w:vAlign w:val="center"/>
          </w:tcPr>
          <w:p>
            <w:pPr>
              <w:ind w:firstLine="420" w:firstLineChars="200"/>
              <w:rPr>
                <w:rFonts w:ascii="宋体" w:hAnsi="宋体" w:cs="宋体"/>
              </w:rPr>
            </w:pPr>
          </w:p>
        </w:tc>
        <w:tc>
          <w:tcPr>
            <w:tcW w:w="1289" w:type="dxa"/>
            <w:vAlign w:val="center"/>
          </w:tcPr>
          <w:p>
            <w:pPr>
              <w:ind w:firstLine="420" w:firstLineChars="200"/>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vAlign w:val="center"/>
          </w:tcPr>
          <w:p>
            <w:pPr>
              <w:tabs>
                <w:tab w:val="left" w:pos="314"/>
              </w:tabs>
              <w:rPr>
                <w:rFonts w:ascii="宋体" w:hAnsi="宋体" w:cs="宋体"/>
                <w:szCs w:val="21"/>
              </w:rPr>
            </w:pPr>
            <w:r>
              <w:rPr>
                <w:rFonts w:hint="eastAsia" w:ascii="宋体" w:hAnsi="宋体" w:cs="宋体"/>
                <w:szCs w:val="21"/>
              </w:rPr>
              <w:t>9</w:t>
            </w:r>
          </w:p>
        </w:tc>
        <w:tc>
          <w:tcPr>
            <w:tcW w:w="6152" w:type="dxa"/>
            <w:vAlign w:val="center"/>
          </w:tcPr>
          <w:p>
            <w:pPr>
              <w:widowControl/>
              <w:ind w:firstLine="422" w:firstLineChars="200"/>
              <w:rPr>
                <w:rFonts w:ascii="宋体" w:hAnsi="宋体" w:cs="宋体"/>
                <w:b/>
                <w:bCs/>
                <w:szCs w:val="21"/>
              </w:rPr>
            </w:pPr>
            <w:r>
              <w:rPr>
                <w:rFonts w:hint="eastAsia" w:ascii="宋体" w:hAnsi="宋体" w:cs="宋体"/>
                <w:b/>
                <w:bCs/>
                <w:szCs w:val="21"/>
              </w:rPr>
              <w:t>（四）项目成果</w:t>
            </w:r>
          </w:p>
          <w:p>
            <w:pPr>
              <w:widowControl/>
              <w:ind w:firstLine="420" w:firstLineChars="200"/>
            </w:pPr>
            <w:r>
              <w:rPr>
                <w:rFonts w:hint="eastAsia"/>
              </w:rPr>
              <w:t>1</w:t>
            </w:r>
            <w:r>
              <w:t>.《深港合作战略下的前海城市综合运营模式研究（暂定名，送审稿）》（电子版1套、加盖公章纸质版5套）；</w:t>
            </w:r>
          </w:p>
          <w:p>
            <w:pPr>
              <w:widowControl/>
              <w:ind w:firstLine="420" w:firstLineChars="200"/>
              <w:rPr>
                <w:rFonts w:ascii="宋体" w:hAnsi="宋体" w:cs="宋体"/>
                <w:kern w:val="0"/>
                <w:szCs w:val="21"/>
              </w:rPr>
            </w:pPr>
            <w:r>
              <w:rPr>
                <w:rFonts w:hint="eastAsia"/>
              </w:rPr>
              <w:t>2</w:t>
            </w:r>
            <w:r>
              <w:t>. 深化前海创新城市运营商模式的政策建议（暂定名）（电子版1套、加盖公章纸质版5套）。</w:t>
            </w:r>
          </w:p>
        </w:tc>
        <w:tc>
          <w:tcPr>
            <w:tcW w:w="992" w:type="dxa"/>
            <w:vAlign w:val="center"/>
          </w:tcPr>
          <w:p>
            <w:pPr>
              <w:ind w:firstLine="420" w:firstLineChars="200"/>
              <w:rPr>
                <w:rFonts w:ascii="宋体" w:hAnsi="宋体" w:cs="宋体"/>
              </w:rPr>
            </w:pPr>
          </w:p>
        </w:tc>
        <w:tc>
          <w:tcPr>
            <w:tcW w:w="1289" w:type="dxa"/>
            <w:vAlign w:val="center"/>
          </w:tcPr>
          <w:p>
            <w:pPr>
              <w:ind w:firstLine="420" w:firstLineChars="200"/>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vAlign w:val="center"/>
          </w:tcPr>
          <w:p>
            <w:pPr>
              <w:tabs>
                <w:tab w:val="left" w:pos="314"/>
              </w:tabs>
              <w:rPr>
                <w:rFonts w:ascii="宋体" w:hAnsi="宋体" w:cs="宋体"/>
                <w:szCs w:val="21"/>
              </w:rPr>
            </w:pPr>
            <w:r>
              <w:rPr>
                <w:rFonts w:hint="eastAsia" w:ascii="宋体" w:hAnsi="宋体" w:cs="宋体"/>
                <w:szCs w:val="21"/>
              </w:rPr>
              <w:t>10</w:t>
            </w:r>
          </w:p>
        </w:tc>
        <w:tc>
          <w:tcPr>
            <w:tcW w:w="6152" w:type="dxa"/>
            <w:vAlign w:val="center"/>
          </w:tcPr>
          <w:p>
            <w:pPr>
              <w:ind w:firstLine="422" w:firstLineChars="200"/>
              <w:rPr>
                <w:rFonts w:ascii="宋体" w:hAnsi="宋体" w:cs="宋体"/>
                <w:b/>
                <w:bCs/>
                <w:szCs w:val="21"/>
              </w:rPr>
            </w:pPr>
            <w:r>
              <w:rPr>
                <w:rFonts w:hint="eastAsia" w:ascii="宋体" w:hAnsi="宋体" w:cs="宋体"/>
                <w:b/>
                <w:bCs/>
                <w:szCs w:val="21"/>
              </w:rPr>
              <w:t>（五）项目人员</w:t>
            </w:r>
          </w:p>
          <w:p>
            <w:pPr>
              <w:ind w:firstLine="420" w:firstLineChars="200"/>
              <w:rPr>
                <w:rFonts w:ascii="宋体" w:hAnsi="宋体" w:cs="宋体"/>
                <w:szCs w:val="21"/>
              </w:rPr>
            </w:pPr>
            <w:r>
              <w:rPr>
                <w:rFonts w:hint="eastAsia" w:ascii="宋体" w:hAnsi="宋体" w:cs="宋体"/>
                <w:szCs w:val="21"/>
              </w:rPr>
              <w:t>项目团队成员应不少于7人（不含项目总负责人），项目负责人需为中标人自有员工，具有副高级（含）以上职称，团队成员需具备土地资源管理、城市规划、经济学、及法学专业领域研究人员。</w:t>
            </w:r>
          </w:p>
          <w:p>
            <w:pPr>
              <w:ind w:firstLine="420" w:firstLineChars="200"/>
              <w:rPr>
                <w:rFonts w:ascii="宋体" w:hAnsi="宋体" w:cs="宋体"/>
                <w:kern w:val="0"/>
                <w:szCs w:val="21"/>
              </w:rPr>
            </w:pPr>
            <w:r>
              <w:rPr>
                <w:rFonts w:hint="eastAsia" w:ascii="宋体" w:hAnsi="宋体" w:cs="宋体"/>
                <w:szCs w:val="21"/>
              </w:rPr>
              <w:t>项目团队需具备城市运营、城市更新与产业发展等相关课题及土地政策研究经验。</w:t>
            </w:r>
          </w:p>
        </w:tc>
        <w:tc>
          <w:tcPr>
            <w:tcW w:w="992" w:type="dxa"/>
            <w:vAlign w:val="center"/>
          </w:tcPr>
          <w:p>
            <w:pPr>
              <w:ind w:firstLine="420" w:firstLineChars="200"/>
              <w:rPr>
                <w:rFonts w:ascii="宋体" w:hAnsi="宋体" w:cs="宋体"/>
              </w:rPr>
            </w:pPr>
          </w:p>
        </w:tc>
        <w:tc>
          <w:tcPr>
            <w:tcW w:w="1289" w:type="dxa"/>
            <w:vAlign w:val="center"/>
          </w:tcPr>
          <w:p>
            <w:pPr>
              <w:ind w:firstLine="420" w:firstLineChars="200"/>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vAlign w:val="center"/>
          </w:tcPr>
          <w:p>
            <w:pPr>
              <w:tabs>
                <w:tab w:val="left" w:pos="314"/>
              </w:tabs>
              <w:rPr>
                <w:rFonts w:ascii="宋体" w:hAnsi="宋体" w:cs="宋体"/>
                <w:szCs w:val="21"/>
              </w:rPr>
            </w:pPr>
            <w:r>
              <w:rPr>
                <w:rFonts w:hint="eastAsia" w:ascii="宋体" w:hAnsi="宋体" w:cs="宋体"/>
                <w:szCs w:val="21"/>
              </w:rPr>
              <w:t>11</w:t>
            </w:r>
          </w:p>
        </w:tc>
        <w:tc>
          <w:tcPr>
            <w:tcW w:w="6152" w:type="dxa"/>
            <w:vAlign w:val="center"/>
          </w:tcPr>
          <w:p>
            <w:pPr>
              <w:pStyle w:val="2"/>
              <w:spacing w:line="240" w:lineRule="auto"/>
              <w:rPr>
                <w:rFonts w:ascii="宋体" w:hAnsi="宋体" w:cs="宋体"/>
                <w:sz w:val="21"/>
                <w:szCs w:val="21"/>
              </w:rPr>
            </w:pPr>
            <w:r>
              <w:rPr>
                <w:rFonts w:hint="eastAsia" w:ascii="宋体" w:hAnsi="宋体" w:cs="宋体"/>
                <w:sz w:val="21"/>
                <w:szCs w:val="21"/>
              </w:rPr>
              <w:t>（六）验收方式及后续服务</w:t>
            </w:r>
          </w:p>
          <w:p>
            <w:pPr>
              <w:pStyle w:val="2"/>
              <w:spacing w:line="240" w:lineRule="auto"/>
              <w:ind w:firstLine="420" w:firstLineChars="200"/>
              <w:rPr>
                <w:rFonts w:ascii="宋体" w:hAnsi="宋体" w:cs="宋体"/>
                <w:b w:val="0"/>
                <w:bCs w:val="0"/>
                <w:sz w:val="21"/>
                <w:szCs w:val="21"/>
              </w:rPr>
            </w:pPr>
            <w:r>
              <w:rPr>
                <w:rFonts w:hint="eastAsia" w:ascii="宋体" w:hAnsi="宋体" w:cs="宋体"/>
                <w:b w:val="0"/>
                <w:bCs w:val="0"/>
                <w:sz w:val="21"/>
                <w:szCs w:val="21"/>
              </w:rPr>
              <w:t>1. 验收标准</w:t>
            </w:r>
          </w:p>
          <w:p>
            <w:pPr>
              <w:pStyle w:val="2"/>
              <w:spacing w:line="240" w:lineRule="auto"/>
              <w:ind w:firstLine="420" w:firstLineChars="200"/>
              <w:rPr>
                <w:rFonts w:ascii="宋体" w:hAnsi="宋体" w:cs="宋体"/>
                <w:b w:val="0"/>
                <w:bCs w:val="0"/>
                <w:sz w:val="21"/>
                <w:szCs w:val="21"/>
              </w:rPr>
            </w:pPr>
            <w:r>
              <w:rPr>
                <w:rFonts w:hint="eastAsia" w:ascii="宋体" w:hAnsi="宋体" w:cs="宋体"/>
                <w:b w:val="0"/>
                <w:bCs w:val="0"/>
                <w:sz w:val="21"/>
                <w:szCs w:val="21"/>
              </w:rPr>
              <w:t>上述成果应具备可操作性、可执行性，指导前海合作区与自贸片区进一步争取改革授权、强化政策集成和制度创新，为开放发展增创新优势。</w:t>
            </w:r>
          </w:p>
          <w:p>
            <w:pPr>
              <w:pStyle w:val="2"/>
              <w:spacing w:line="240" w:lineRule="auto"/>
              <w:ind w:firstLine="420" w:firstLineChars="200"/>
              <w:rPr>
                <w:rFonts w:ascii="宋体" w:hAnsi="宋体" w:cs="宋体"/>
                <w:b w:val="0"/>
                <w:bCs w:val="0"/>
                <w:sz w:val="21"/>
                <w:szCs w:val="21"/>
              </w:rPr>
            </w:pPr>
            <w:r>
              <w:rPr>
                <w:rFonts w:hint="eastAsia" w:ascii="宋体" w:hAnsi="宋体" w:cs="宋体"/>
                <w:b w:val="0"/>
                <w:bCs w:val="0"/>
                <w:sz w:val="21"/>
                <w:szCs w:val="21"/>
              </w:rPr>
              <w:t>2. 验收方式</w:t>
            </w:r>
          </w:p>
          <w:p>
            <w:pPr>
              <w:pStyle w:val="2"/>
              <w:spacing w:line="240" w:lineRule="auto"/>
              <w:ind w:firstLine="420" w:firstLineChars="200"/>
              <w:rPr>
                <w:rFonts w:ascii="宋体" w:hAnsi="宋体" w:cs="宋体"/>
                <w:b w:val="0"/>
                <w:bCs w:val="0"/>
                <w:sz w:val="21"/>
                <w:szCs w:val="21"/>
              </w:rPr>
            </w:pPr>
            <w:r>
              <w:rPr>
                <w:rFonts w:hint="eastAsia" w:ascii="宋体" w:hAnsi="宋体" w:cs="宋体"/>
                <w:b w:val="0"/>
                <w:bCs w:val="0"/>
                <w:sz w:val="21"/>
                <w:szCs w:val="21"/>
              </w:rPr>
              <w:t>根据验收标准要求，中标人应按采购人规定的技术及时间要求，完成相应工作成果并全部提交。通过组织专家评审论证会方式验收。</w:t>
            </w:r>
          </w:p>
          <w:p>
            <w:pPr>
              <w:pStyle w:val="2"/>
              <w:spacing w:line="240" w:lineRule="auto"/>
              <w:ind w:firstLine="420" w:firstLineChars="200"/>
              <w:rPr>
                <w:rFonts w:ascii="宋体" w:hAnsi="宋体" w:cs="宋体"/>
                <w:b w:val="0"/>
                <w:bCs w:val="0"/>
                <w:sz w:val="21"/>
                <w:szCs w:val="21"/>
              </w:rPr>
            </w:pPr>
            <w:r>
              <w:rPr>
                <w:rFonts w:hint="eastAsia" w:ascii="宋体" w:hAnsi="宋体" w:cs="宋体"/>
                <w:b w:val="0"/>
                <w:bCs w:val="0"/>
                <w:sz w:val="21"/>
                <w:szCs w:val="21"/>
              </w:rPr>
              <w:t>3. 其他要求</w:t>
            </w:r>
          </w:p>
          <w:p>
            <w:pPr>
              <w:pStyle w:val="2"/>
              <w:spacing w:line="240" w:lineRule="auto"/>
              <w:ind w:firstLine="420" w:firstLineChars="200"/>
              <w:rPr>
                <w:rFonts w:ascii="宋体" w:hAnsi="宋体" w:cs="宋体"/>
                <w:b w:val="0"/>
                <w:bCs w:val="0"/>
                <w:sz w:val="21"/>
                <w:szCs w:val="21"/>
              </w:rPr>
            </w:pPr>
            <w:r>
              <w:rPr>
                <w:rFonts w:hint="eastAsia" w:ascii="宋体" w:hAnsi="宋体" w:cs="宋体"/>
                <w:b w:val="0"/>
                <w:bCs w:val="0"/>
                <w:sz w:val="21"/>
                <w:szCs w:val="21"/>
              </w:rPr>
              <w:t>保证理论与实际相结合，中标人应至少开展2次实地调研；</w:t>
            </w:r>
          </w:p>
          <w:p>
            <w:pPr>
              <w:pStyle w:val="2"/>
              <w:spacing w:line="240" w:lineRule="auto"/>
              <w:ind w:firstLine="420" w:firstLineChars="200"/>
              <w:rPr>
                <w:rFonts w:ascii="宋体" w:hAnsi="宋体" w:cs="宋体"/>
                <w:b w:val="0"/>
                <w:bCs w:val="0"/>
                <w:sz w:val="21"/>
                <w:szCs w:val="21"/>
              </w:rPr>
            </w:pPr>
            <w:r>
              <w:rPr>
                <w:rFonts w:hint="eastAsia" w:ascii="宋体" w:hAnsi="宋体" w:cs="宋体"/>
                <w:b w:val="0"/>
                <w:bCs w:val="0"/>
                <w:sz w:val="21"/>
                <w:szCs w:val="21"/>
              </w:rPr>
              <w:t>注重课题研究成果的对策性和实用性，避免过分理论性的研究，课题成果中紧扣前海开发开放实际情况的分析占比须达60%以上；</w:t>
            </w:r>
          </w:p>
          <w:p>
            <w:pPr>
              <w:pStyle w:val="2"/>
              <w:spacing w:line="240" w:lineRule="auto"/>
              <w:ind w:firstLine="420" w:firstLineChars="200"/>
              <w:rPr>
                <w:rFonts w:ascii="宋体" w:hAnsi="宋体" w:cs="宋体"/>
                <w:b w:val="0"/>
                <w:bCs w:val="0"/>
                <w:sz w:val="21"/>
                <w:szCs w:val="21"/>
              </w:rPr>
            </w:pPr>
            <w:r>
              <w:rPr>
                <w:rFonts w:hint="eastAsia" w:ascii="宋体" w:hAnsi="宋体" w:cs="宋体"/>
                <w:b w:val="0"/>
                <w:bCs w:val="0"/>
                <w:sz w:val="21"/>
                <w:szCs w:val="21"/>
              </w:rPr>
              <w:t>课题研究完成后，中标人需通过第三方查重系统对课题成果进行内容查重，重复率不得超过20%；</w:t>
            </w:r>
          </w:p>
          <w:p>
            <w:pPr>
              <w:pStyle w:val="2"/>
              <w:spacing w:line="240" w:lineRule="auto"/>
              <w:ind w:firstLine="420" w:firstLineChars="200"/>
              <w:rPr>
                <w:rFonts w:ascii="宋体" w:hAnsi="宋体" w:cs="宋体"/>
                <w:b w:val="0"/>
                <w:bCs w:val="0"/>
                <w:sz w:val="21"/>
                <w:szCs w:val="21"/>
              </w:rPr>
            </w:pPr>
            <w:r>
              <w:rPr>
                <w:rFonts w:hint="eastAsia" w:ascii="宋体" w:hAnsi="宋体" w:cs="宋体"/>
                <w:b w:val="0"/>
                <w:bCs w:val="0"/>
                <w:sz w:val="21"/>
                <w:szCs w:val="21"/>
              </w:rPr>
              <w:t>严禁弄虚作假、抄袭剽窃等违规行为。</w:t>
            </w:r>
          </w:p>
          <w:p>
            <w:pPr>
              <w:pStyle w:val="2"/>
              <w:spacing w:line="240" w:lineRule="auto"/>
              <w:ind w:firstLine="420" w:firstLineChars="200"/>
              <w:rPr>
                <w:rFonts w:ascii="宋体" w:hAnsi="宋体" w:cs="宋体"/>
                <w:b w:val="0"/>
                <w:bCs w:val="0"/>
                <w:sz w:val="21"/>
                <w:szCs w:val="21"/>
              </w:rPr>
            </w:pPr>
            <w:r>
              <w:rPr>
                <w:rFonts w:hint="eastAsia" w:ascii="宋体" w:hAnsi="宋体" w:cs="宋体"/>
                <w:b w:val="0"/>
                <w:bCs w:val="0"/>
                <w:sz w:val="21"/>
                <w:szCs w:val="21"/>
              </w:rPr>
              <w:t>4</w:t>
            </w:r>
            <w:r>
              <w:rPr>
                <w:rFonts w:ascii="宋体" w:hAnsi="宋体" w:cs="宋体"/>
                <w:b w:val="0"/>
                <w:bCs w:val="0"/>
                <w:sz w:val="21"/>
                <w:szCs w:val="21"/>
              </w:rPr>
              <w:t>.提交的本项目最终成果通过</w:t>
            </w:r>
            <w:r>
              <w:rPr>
                <w:rFonts w:hint="eastAsia" w:ascii="宋体" w:hAnsi="宋体" w:cs="宋体"/>
                <w:b w:val="0"/>
                <w:bCs w:val="0"/>
                <w:sz w:val="21"/>
                <w:szCs w:val="21"/>
              </w:rPr>
              <w:t>采购人</w:t>
            </w:r>
            <w:r>
              <w:rPr>
                <w:rFonts w:ascii="宋体" w:hAnsi="宋体" w:cs="宋体"/>
                <w:b w:val="0"/>
                <w:bCs w:val="0"/>
                <w:sz w:val="21"/>
                <w:szCs w:val="21"/>
              </w:rPr>
              <w:t>审查验收之日起1年为本合同后续服务期。服务期内</w:t>
            </w:r>
            <w:r>
              <w:rPr>
                <w:rFonts w:hint="eastAsia" w:ascii="宋体" w:hAnsi="宋体" w:cs="宋体"/>
                <w:b w:val="0"/>
                <w:bCs w:val="0"/>
                <w:sz w:val="21"/>
                <w:szCs w:val="21"/>
              </w:rPr>
              <w:t>中标人</w:t>
            </w:r>
            <w:r>
              <w:rPr>
                <w:rFonts w:ascii="宋体" w:hAnsi="宋体" w:cs="宋体"/>
                <w:b w:val="0"/>
                <w:bCs w:val="0"/>
                <w:sz w:val="21"/>
                <w:szCs w:val="21"/>
              </w:rPr>
              <w:t>应向</w:t>
            </w:r>
            <w:r>
              <w:rPr>
                <w:rFonts w:hint="eastAsia" w:ascii="宋体" w:hAnsi="宋体" w:cs="宋体"/>
                <w:b w:val="0"/>
                <w:bCs w:val="0"/>
                <w:sz w:val="21"/>
                <w:szCs w:val="21"/>
              </w:rPr>
              <w:t>采购人</w:t>
            </w:r>
            <w:r>
              <w:rPr>
                <w:rFonts w:ascii="宋体" w:hAnsi="宋体" w:cs="宋体"/>
                <w:b w:val="0"/>
                <w:bCs w:val="0"/>
                <w:sz w:val="21"/>
                <w:szCs w:val="21"/>
              </w:rPr>
              <w:t>提供后续的专业技术支持与咨询服务，且应自收到</w:t>
            </w:r>
            <w:r>
              <w:rPr>
                <w:rFonts w:hint="eastAsia" w:ascii="宋体" w:hAnsi="宋体" w:cs="宋体"/>
                <w:b w:val="0"/>
                <w:bCs w:val="0"/>
                <w:sz w:val="21"/>
                <w:szCs w:val="21"/>
              </w:rPr>
              <w:t>采购人</w:t>
            </w:r>
            <w:r>
              <w:rPr>
                <w:rFonts w:ascii="宋体" w:hAnsi="宋体" w:cs="宋体"/>
                <w:b w:val="0"/>
                <w:bCs w:val="0"/>
                <w:sz w:val="21"/>
                <w:szCs w:val="21"/>
              </w:rPr>
              <w:t>咨询起24小时以内予以回复。</w:t>
            </w:r>
          </w:p>
        </w:tc>
        <w:tc>
          <w:tcPr>
            <w:tcW w:w="992" w:type="dxa"/>
            <w:vAlign w:val="center"/>
          </w:tcPr>
          <w:p>
            <w:pPr>
              <w:ind w:firstLine="420" w:firstLineChars="200"/>
              <w:rPr>
                <w:rFonts w:ascii="宋体" w:hAnsi="宋体" w:cs="宋体"/>
              </w:rPr>
            </w:pPr>
          </w:p>
        </w:tc>
        <w:tc>
          <w:tcPr>
            <w:tcW w:w="1289" w:type="dxa"/>
            <w:vAlign w:val="center"/>
          </w:tcPr>
          <w:p>
            <w:pPr>
              <w:ind w:firstLine="420" w:firstLineChars="200"/>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vAlign w:val="center"/>
          </w:tcPr>
          <w:p>
            <w:pPr>
              <w:tabs>
                <w:tab w:val="left" w:pos="314"/>
              </w:tabs>
              <w:rPr>
                <w:rFonts w:ascii="宋体" w:hAnsi="宋体" w:cs="宋体"/>
                <w:szCs w:val="21"/>
              </w:rPr>
            </w:pPr>
            <w:r>
              <w:rPr>
                <w:rFonts w:hint="eastAsia" w:ascii="宋体" w:hAnsi="宋体" w:cs="宋体"/>
                <w:szCs w:val="21"/>
              </w:rPr>
              <w:t>12</w:t>
            </w:r>
          </w:p>
        </w:tc>
        <w:tc>
          <w:tcPr>
            <w:tcW w:w="6152" w:type="dxa"/>
            <w:vAlign w:val="center"/>
          </w:tcPr>
          <w:p>
            <w:pPr>
              <w:widowControl/>
              <w:ind w:firstLine="422" w:firstLineChars="200"/>
              <w:rPr>
                <w:rFonts w:ascii="宋体" w:hAnsi="宋体" w:cs="宋体"/>
                <w:b/>
                <w:bCs/>
                <w:szCs w:val="21"/>
              </w:rPr>
            </w:pPr>
            <w:r>
              <w:rPr>
                <w:rFonts w:hint="eastAsia" w:ascii="宋体" w:hAnsi="宋体" w:cs="宋体"/>
                <w:b/>
                <w:bCs/>
                <w:szCs w:val="21"/>
              </w:rPr>
              <w:t>★（七）成果归属</w:t>
            </w:r>
          </w:p>
          <w:p>
            <w:pPr>
              <w:widowControl/>
              <w:ind w:firstLine="420" w:firstLineChars="200"/>
              <w:rPr>
                <w:rFonts w:ascii="宋体" w:hAnsi="宋体" w:cs="宋体"/>
                <w:szCs w:val="21"/>
              </w:rPr>
            </w:pPr>
            <w:r>
              <w:rPr>
                <w:rFonts w:hint="eastAsia" w:ascii="宋体" w:hAnsi="宋体" w:cs="宋体"/>
                <w:szCs w:val="21"/>
              </w:rPr>
              <w:t>1.双方对合同有关的知识产权以及与之相关的所有权利归属约定如下：本项目全部阶段性成果和最终成果（包括为后续服务范围所编制的文件）的知识产权以及与之相关的所有权利归采购人所有；合同签署前双方已经拥有的知识产权权利，仍归各自所有。</w:t>
            </w:r>
          </w:p>
          <w:p>
            <w:pPr>
              <w:widowControl/>
              <w:ind w:firstLine="420" w:firstLineChars="200"/>
              <w:rPr>
                <w:rFonts w:ascii="宋体" w:hAnsi="宋体" w:cs="宋体"/>
                <w:szCs w:val="21"/>
              </w:rPr>
            </w:pPr>
            <w:r>
              <w:rPr>
                <w:rFonts w:hint="eastAsia" w:ascii="宋体" w:hAnsi="宋体" w:cs="宋体"/>
                <w:szCs w:val="21"/>
              </w:rPr>
              <w:t>2.双方确定，采购人有权利用中标人按照本合同约定提供的研究开发成果，进行后续改进。由此产生的具有实质性或创造性技术进步特征的新的技术成果及其权利归属，全部由采购人享有。具体相关利益的分配办法如下：采购人100%。</w:t>
            </w:r>
          </w:p>
          <w:p>
            <w:pPr>
              <w:widowControl/>
              <w:ind w:firstLine="420" w:firstLineChars="200"/>
              <w:rPr>
                <w:rFonts w:ascii="宋体" w:hAnsi="宋体" w:cs="宋体"/>
                <w:szCs w:val="21"/>
              </w:rPr>
            </w:pPr>
            <w:r>
              <w:rPr>
                <w:rFonts w:hint="eastAsia" w:ascii="宋体" w:hAnsi="宋体" w:cs="宋体"/>
                <w:szCs w:val="21"/>
              </w:rPr>
              <w:t>3.</w:t>
            </w:r>
            <w:r>
              <w:rPr>
                <w:rFonts w:hint="eastAsia" w:ascii="宋体" w:hAnsi="宋体" w:cs="宋体"/>
                <w:b/>
                <w:bCs/>
                <w:szCs w:val="21"/>
              </w:rPr>
              <w:t xml:space="preserve"> </w:t>
            </w:r>
            <w:r>
              <w:rPr>
                <w:rFonts w:hint="eastAsia" w:ascii="宋体" w:hAnsi="宋体" w:cs="宋体"/>
                <w:szCs w:val="21"/>
              </w:rPr>
              <w:t>中标人所提交的全部中间成果和最终成果文件及任何数据、资料、软件等不得侵犯任何第三方的知识产权或其他权利，由于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ind w:firstLine="420" w:firstLineChars="200"/>
              <w:rPr>
                <w:rFonts w:ascii="宋体" w:hAnsi="宋体" w:cs="宋体"/>
                <w:szCs w:val="21"/>
              </w:rPr>
            </w:pPr>
            <w:r>
              <w:rPr>
                <w:rFonts w:hint="eastAsia" w:ascii="宋体" w:hAnsi="宋体" w:cs="宋体"/>
                <w:szCs w:val="21"/>
              </w:rPr>
              <w:t>4.未经采购人书面在先同意，中标人不得将本项目的中间成果和最终成果文件及任何数据、资料、软件向任何第三方转让、授权任何第三方使用或用于合同项目外的其他项目。如发生以上情况，中标人应向采购人支付合同总价款20%的违约金，如果违约金无法弥补采购人的损失，采购人有权要求中标人赔偿全部损失。</w:t>
            </w:r>
          </w:p>
          <w:p>
            <w:pPr>
              <w:widowControl/>
              <w:ind w:firstLine="420" w:firstLineChars="200"/>
              <w:rPr>
                <w:rFonts w:ascii="宋体" w:hAnsi="宋体" w:cs="宋体"/>
                <w:kern w:val="0"/>
                <w:szCs w:val="21"/>
              </w:rPr>
            </w:pPr>
            <w:r>
              <w:rPr>
                <w:rFonts w:hint="eastAsia" w:ascii="宋体" w:hAnsi="宋体" w:cs="宋体"/>
                <w:szCs w:val="21"/>
              </w:rPr>
              <w:t>5. 中标人完成合同项目的研究开发人员享有在有关技术成果文件上写明技术成果完成者的权利和与采购人共同获得有关荣誉证书、奖励的权利。</w:t>
            </w:r>
          </w:p>
        </w:tc>
        <w:tc>
          <w:tcPr>
            <w:tcW w:w="992" w:type="dxa"/>
            <w:vAlign w:val="center"/>
          </w:tcPr>
          <w:p>
            <w:pPr>
              <w:ind w:firstLine="420" w:firstLineChars="200"/>
              <w:rPr>
                <w:rFonts w:ascii="宋体" w:hAnsi="宋体" w:cs="宋体"/>
              </w:rPr>
            </w:pPr>
          </w:p>
        </w:tc>
        <w:tc>
          <w:tcPr>
            <w:tcW w:w="1289" w:type="dxa"/>
            <w:vAlign w:val="center"/>
          </w:tcPr>
          <w:p>
            <w:pPr>
              <w:ind w:firstLine="420" w:firstLineChars="200"/>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vAlign w:val="center"/>
          </w:tcPr>
          <w:p>
            <w:pPr>
              <w:tabs>
                <w:tab w:val="left" w:pos="314"/>
              </w:tabs>
              <w:rPr>
                <w:rFonts w:ascii="宋体" w:hAnsi="宋体" w:cs="宋体"/>
                <w:szCs w:val="21"/>
              </w:rPr>
            </w:pPr>
            <w:r>
              <w:rPr>
                <w:rFonts w:hint="eastAsia" w:ascii="宋体" w:hAnsi="宋体" w:cs="宋体"/>
                <w:szCs w:val="21"/>
              </w:rPr>
              <w:t>13</w:t>
            </w:r>
          </w:p>
        </w:tc>
        <w:tc>
          <w:tcPr>
            <w:tcW w:w="6152" w:type="dxa"/>
            <w:vAlign w:val="center"/>
          </w:tcPr>
          <w:p>
            <w:pPr>
              <w:widowControl/>
              <w:ind w:firstLine="422" w:firstLineChars="200"/>
              <w:rPr>
                <w:rFonts w:ascii="宋体" w:hAnsi="宋体" w:cs="宋体"/>
                <w:b/>
                <w:szCs w:val="21"/>
              </w:rPr>
            </w:pPr>
            <w:r>
              <w:rPr>
                <w:rFonts w:hint="eastAsia" w:ascii="宋体" w:hAnsi="宋体" w:cs="宋体"/>
                <w:b/>
                <w:bCs/>
                <w:szCs w:val="21"/>
              </w:rPr>
              <w:t>★</w:t>
            </w:r>
            <w:r>
              <w:rPr>
                <w:rFonts w:hint="eastAsia" w:ascii="宋体" w:hAnsi="宋体" w:cs="宋体"/>
                <w:b/>
                <w:kern w:val="0"/>
                <w:szCs w:val="21"/>
              </w:rPr>
              <w:t>（八）</w:t>
            </w:r>
            <w:r>
              <w:rPr>
                <w:rFonts w:hint="eastAsia" w:ascii="宋体" w:hAnsi="宋体" w:cs="宋体"/>
                <w:b/>
                <w:szCs w:val="21"/>
              </w:rPr>
              <w:t>保密条款</w:t>
            </w:r>
          </w:p>
          <w:p>
            <w:pPr>
              <w:widowControl/>
              <w:ind w:firstLine="420" w:firstLineChars="200"/>
              <w:rPr>
                <w:rFonts w:ascii="宋体" w:hAnsi="宋体" w:cs="宋体"/>
                <w:szCs w:val="21"/>
              </w:rPr>
            </w:pPr>
            <w:r>
              <w:rPr>
                <w:rFonts w:hint="eastAsia" w:ascii="宋体" w:hAnsi="宋体" w:cs="宋体"/>
                <w:szCs w:val="21"/>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ind w:firstLine="420" w:firstLineChars="200"/>
              <w:rPr>
                <w:rFonts w:ascii="宋体" w:hAnsi="宋体" w:cs="宋体"/>
                <w:szCs w:val="21"/>
              </w:rPr>
            </w:pPr>
            <w:r>
              <w:rPr>
                <w:rFonts w:hint="eastAsia" w:ascii="宋体" w:hAnsi="宋体" w:cs="宋体"/>
                <w:szCs w:val="21"/>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ind w:firstLine="420" w:firstLineChars="200"/>
              <w:rPr>
                <w:rFonts w:ascii="宋体" w:hAnsi="宋体" w:cs="宋体"/>
                <w:szCs w:val="21"/>
              </w:rPr>
            </w:pPr>
            <w:r>
              <w:rPr>
                <w:rFonts w:hint="eastAsia" w:ascii="宋体" w:hAnsi="宋体" w:cs="宋体"/>
                <w:szCs w:val="21"/>
              </w:rPr>
              <w:t>3. 中标人须以保密方式处理在编制本项目成果文件过程中自采购人、采购人工作人员或采购人关联机构获得的相关信息、资料、图纸、数据等，或由采购人在履行合同过程中明确指明为秘密的任何信息,以及中标人因本项目工作所直接或间接取得、处理或接触的任何其他资料。未经采购人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采购人书面在先同意，中标人不得向任何第三方透露与本项目有关的内容，或公开本项目任何中间成果或最终成果。如发生以上情况，中标人应向采购人支付本合同项下服务费用总价款20%的违约金，如果违约金无法弥补采购人损失，采购人保留要求中标人赔偿全部损失的权利。</w:t>
            </w:r>
          </w:p>
          <w:p>
            <w:pPr>
              <w:widowControl/>
              <w:ind w:firstLine="420" w:firstLineChars="200"/>
              <w:rPr>
                <w:rFonts w:ascii="宋体" w:hAnsi="宋体" w:cs="宋体"/>
                <w:szCs w:val="21"/>
              </w:rPr>
            </w:pPr>
            <w:r>
              <w:rPr>
                <w:rFonts w:hint="eastAsia" w:ascii="宋体" w:hAnsi="宋体" w:cs="宋体"/>
                <w:szCs w:val="21"/>
              </w:rPr>
              <w:t>4. 中标人实施项目的程序应符合国家安全、保密的有关规定和标准。</w:t>
            </w:r>
          </w:p>
          <w:p>
            <w:pPr>
              <w:widowControl/>
              <w:ind w:firstLine="420" w:firstLineChars="200"/>
              <w:rPr>
                <w:rFonts w:ascii="宋体" w:hAnsi="宋体" w:cs="宋体"/>
                <w:szCs w:val="21"/>
              </w:rPr>
            </w:pPr>
            <w:r>
              <w:rPr>
                <w:rFonts w:hint="eastAsia" w:ascii="宋体" w:hAnsi="宋体" w:cs="宋体"/>
                <w:szCs w:val="21"/>
              </w:rPr>
              <w:t>5.上述保密义务不适用以下情况：</w:t>
            </w:r>
          </w:p>
          <w:p>
            <w:pPr>
              <w:widowControl/>
              <w:ind w:firstLine="420" w:firstLineChars="200"/>
              <w:rPr>
                <w:rFonts w:ascii="宋体" w:hAnsi="宋体" w:cs="宋体"/>
                <w:szCs w:val="21"/>
              </w:rPr>
            </w:pPr>
            <w:r>
              <w:rPr>
                <w:rFonts w:hint="eastAsia" w:ascii="宋体" w:hAnsi="宋体" w:cs="宋体"/>
                <w:szCs w:val="21"/>
              </w:rPr>
              <w:t>（1）获取的信息已被合法公开；</w:t>
            </w:r>
          </w:p>
          <w:p>
            <w:pPr>
              <w:widowControl/>
              <w:ind w:firstLine="420" w:firstLineChars="200"/>
              <w:rPr>
                <w:rFonts w:ascii="宋体" w:hAnsi="宋体" w:cs="宋体"/>
                <w:szCs w:val="21"/>
              </w:rPr>
            </w:pPr>
            <w:r>
              <w:rPr>
                <w:rFonts w:hint="eastAsia" w:ascii="宋体" w:hAnsi="宋体" w:cs="宋体"/>
                <w:szCs w:val="21"/>
              </w:rPr>
              <w:t>（2）获得信息拥有方书面许可并在该许可范围内披露；</w:t>
            </w:r>
          </w:p>
          <w:p>
            <w:pPr>
              <w:widowControl/>
              <w:ind w:firstLine="420" w:firstLineChars="200"/>
              <w:rPr>
                <w:rFonts w:ascii="宋体" w:hAnsi="宋体" w:cs="宋体"/>
                <w:szCs w:val="21"/>
              </w:rPr>
            </w:pPr>
            <w:r>
              <w:rPr>
                <w:rFonts w:hint="eastAsia" w:ascii="宋体" w:hAnsi="宋体" w:cs="宋体"/>
                <w:szCs w:val="21"/>
              </w:rPr>
              <w:t>（3）国家法律、法规规定的情形。</w:t>
            </w:r>
          </w:p>
          <w:p>
            <w:pPr>
              <w:widowControl/>
              <w:ind w:firstLine="420" w:firstLineChars="200"/>
              <w:rPr>
                <w:rFonts w:ascii="宋体" w:hAnsi="宋体" w:cs="宋体"/>
                <w:kern w:val="0"/>
                <w:szCs w:val="21"/>
              </w:rPr>
            </w:pPr>
            <w:r>
              <w:rPr>
                <w:rFonts w:hint="eastAsia" w:ascii="宋体" w:hAnsi="宋体" w:cs="宋体"/>
                <w:szCs w:val="21"/>
              </w:rPr>
              <w:t>6.无论合同或本合同其他条款是否有效，本保密条款始终约束双方。国家秘密的保密期限由国家有关部门确定，工作秘密的保密期限由采购人确定。</w:t>
            </w:r>
          </w:p>
        </w:tc>
        <w:tc>
          <w:tcPr>
            <w:tcW w:w="992" w:type="dxa"/>
            <w:vAlign w:val="center"/>
          </w:tcPr>
          <w:p>
            <w:pPr>
              <w:ind w:firstLine="420" w:firstLineChars="200"/>
              <w:rPr>
                <w:rFonts w:ascii="宋体" w:hAnsi="宋体" w:cs="宋体"/>
              </w:rPr>
            </w:pPr>
          </w:p>
        </w:tc>
        <w:tc>
          <w:tcPr>
            <w:tcW w:w="1289" w:type="dxa"/>
            <w:vAlign w:val="center"/>
          </w:tcPr>
          <w:p>
            <w:pPr>
              <w:ind w:firstLine="420" w:firstLineChars="200"/>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vAlign w:val="center"/>
          </w:tcPr>
          <w:p>
            <w:pPr>
              <w:tabs>
                <w:tab w:val="left" w:pos="314"/>
              </w:tabs>
              <w:rPr>
                <w:rFonts w:ascii="宋体" w:hAnsi="宋体" w:cs="宋体"/>
                <w:szCs w:val="21"/>
              </w:rPr>
            </w:pPr>
            <w:r>
              <w:rPr>
                <w:rFonts w:hint="eastAsia" w:ascii="宋体" w:hAnsi="宋体" w:cs="宋体"/>
                <w:szCs w:val="21"/>
              </w:rPr>
              <w:t>14</w:t>
            </w:r>
          </w:p>
        </w:tc>
        <w:tc>
          <w:tcPr>
            <w:tcW w:w="6152" w:type="dxa"/>
            <w:vAlign w:val="center"/>
          </w:tcPr>
          <w:p>
            <w:pPr>
              <w:widowControl/>
              <w:ind w:firstLine="422" w:firstLineChars="200"/>
              <w:rPr>
                <w:rFonts w:ascii="宋体" w:hAnsi="宋体" w:cs="宋体"/>
                <w:b/>
                <w:szCs w:val="21"/>
              </w:rPr>
            </w:pPr>
            <w:r>
              <w:rPr>
                <w:rFonts w:hint="eastAsia" w:ascii="宋体" w:hAnsi="宋体" w:cs="宋体"/>
                <w:b/>
                <w:bCs/>
                <w:szCs w:val="21"/>
              </w:rPr>
              <w:t>★</w:t>
            </w:r>
            <w:r>
              <w:rPr>
                <w:rFonts w:hint="eastAsia" w:ascii="宋体" w:hAnsi="宋体" w:cs="宋体"/>
                <w:b/>
                <w:kern w:val="0"/>
                <w:szCs w:val="21"/>
              </w:rPr>
              <w:t>（九）</w:t>
            </w:r>
            <w:r>
              <w:rPr>
                <w:rFonts w:hint="eastAsia" w:ascii="宋体" w:hAnsi="宋体" w:cs="宋体"/>
                <w:b/>
                <w:szCs w:val="21"/>
              </w:rPr>
              <w:t>违约责任</w:t>
            </w:r>
          </w:p>
          <w:p>
            <w:pPr>
              <w:widowControl/>
              <w:ind w:firstLine="420" w:firstLineChars="200"/>
              <w:rPr>
                <w:rFonts w:ascii="宋体" w:hAnsi="宋体" w:cs="宋体"/>
                <w:szCs w:val="21"/>
              </w:rPr>
            </w:pPr>
            <w:r>
              <w:rPr>
                <w:rFonts w:hint="eastAsia" w:ascii="宋体" w:hAnsi="宋体" w:cs="宋体"/>
                <w:szCs w:val="21"/>
              </w:rPr>
              <w:t>1.中标人未按照合同约定的时间完成本项目工作，每延迟一日，采购人有权自支付合同余款中扣除合同总价款1‰的逾期违约金。</w:t>
            </w:r>
          </w:p>
          <w:p>
            <w:pPr>
              <w:widowControl/>
              <w:ind w:firstLine="420" w:firstLineChars="200"/>
              <w:rPr>
                <w:rFonts w:ascii="宋体" w:hAnsi="宋体" w:cs="宋体"/>
                <w:szCs w:val="21"/>
              </w:rPr>
            </w:pPr>
            <w:r>
              <w:rPr>
                <w:rFonts w:hint="eastAsia"/>
              </w:rPr>
              <w:t>2</w:t>
            </w:r>
            <w:r>
              <w:rPr>
                <w:rFonts w:hint="eastAsia" w:ascii="宋体" w:hAnsi="宋体" w:cs="宋体"/>
                <w:szCs w:val="21"/>
              </w:rPr>
              <w:t>.合同履行期间，发生下述情形时，采购人有权解除本合同，中标人除应退还采购人已支付的全部款项外, 还应在合同解除通知发出之日起10日内向采购人支付合同总价款20%的违约金。中标人应同时将已完成的项目成果移交给采购人，并将全部有关资料退还采购人：</w:t>
            </w:r>
          </w:p>
          <w:p>
            <w:pPr>
              <w:widowControl/>
              <w:ind w:firstLine="420" w:firstLineChars="200"/>
              <w:rPr>
                <w:rFonts w:ascii="宋体" w:hAnsi="宋体" w:cs="宋体"/>
                <w:szCs w:val="21"/>
              </w:rPr>
            </w:pPr>
            <w:r>
              <w:rPr>
                <w:rFonts w:hint="eastAsia" w:ascii="宋体" w:hAnsi="宋体" w:cs="宋体"/>
                <w:szCs w:val="21"/>
              </w:rPr>
              <w:t>（1）中标人未能按合同约定的日期(含协商延缓的日期)提交成果，延误时间超过15个工作日；</w:t>
            </w:r>
          </w:p>
          <w:p>
            <w:pPr>
              <w:widowControl/>
              <w:ind w:firstLine="420" w:firstLineChars="200"/>
              <w:rPr>
                <w:rFonts w:ascii="宋体" w:hAnsi="宋体" w:cs="宋体"/>
                <w:szCs w:val="21"/>
              </w:rPr>
            </w:pPr>
            <w:r>
              <w:rPr>
                <w:rFonts w:hint="eastAsia" w:ascii="宋体" w:hAnsi="宋体" w:cs="宋体"/>
                <w:szCs w:val="21"/>
              </w:rPr>
              <w:t>（2）因中标人工作的错误或遗漏造成成果质量损失，</w:t>
            </w:r>
            <w:r>
              <w:rPr>
                <w:rFonts w:hint="eastAsia" w:ascii="宋体" w:hAnsi="宋体" w:cs="宋体"/>
                <w:szCs w:val="21"/>
                <w:lang w:val="zh-CN"/>
              </w:rPr>
              <w:t>工作成果质量低劣，不能满足采购人工作需要和要求</w:t>
            </w:r>
            <w:r>
              <w:rPr>
                <w:rFonts w:hint="eastAsia" w:ascii="宋体" w:hAnsi="宋体" w:cs="宋体"/>
                <w:szCs w:val="21"/>
              </w:rPr>
              <w:t>；</w:t>
            </w:r>
          </w:p>
          <w:p>
            <w:pPr>
              <w:widowControl/>
              <w:ind w:firstLine="420" w:firstLineChars="200"/>
              <w:rPr>
                <w:rFonts w:ascii="宋体" w:hAnsi="宋体" w:cs="宋体"/>
                <w:szCs w:val="21"/>
              </w:rPr>
            </w:pPr>
            <w:r>
              <w:rPr>
                <w:rFonts w:hint="eastAsia" w:ascii="宋体" w:hAnsi="宋体" w:cs="宋体"/>
                <w:szCs w:val="21"/>
              </w:rPr>
              <w:t>（3）中标人虽如期提交最终成果，但连续二次未能通过采购人验收的；</w:t>
            </w:r>
          </w:p>
          <w:p>
            <w:pPr>
              <w:widowControl/>
              <w:ind w:firstLine="420" w:firstLineChars="200"/>
              <w:rPr>
                <w:rFonts w:ascii="宋体" w:hAnsi="宋体" w:cs="宋体"/>
                <w:szCs w:val="21"/>
              </w:rPr>
            </w:pPr>
            <w:r>
              <w:rPr>
                <w:rFonts w:hint="eastAsia" w:ascii="宋体" w:hAnsi="宋体" w:cs="宋体"/>
                <w:szCs w:val="21"/>
              </w:rPr>
              <w:t>（4）未经采购人书面在先同意，中标人擅自将本合同项目与任何第三方合作，或将本合同标的全部或部分擅自转包或分包给任何第三方，且未按采购人的要求终止与第三方的合同的；</w:t>
            </w:r>
          </w:p>
          <w:p>
            <w:pPr>
              <w:widowControl/>
              <w:ind w:firstLine="420" w:firstLineChars="200"/>
              <w:rPr>
                <w:rFonts w:ascii="宋体" w:hAnsi="宋体" w:cs="宋体"/>
                <w:szCs w:val="21"/>
              </w:rPr>
            </w:pPr>
            <w:r>
              <w:rPr>
                <w:rFonts w:hint="eastAsia" w:ascii="宋体" w:hAnsi="宋体" w:cs="宋体"/>
                <w:szCs w:val="21"/>
              </w:rPr>
              <w:t>（5）项目负责人未承担合同项目实质性工作，或未经采购人书面在先同意，中标人擅自更换项目负责人的；</w:t>
            </w:r>
          </w:p>
          <w:p>
            <w:pPr>
              <w:widowControl/>
              <w:ind w:firstLine="420" w:firstLineChars="200"/>
              <w:rPr>
                <w:rFonts w:ascii="宋体" w:hAnsi="宋体" w:cs="宋体"/>
                <w:szCs w:val="21"/>
              </w:rPr>
            </w:pPr>
            <w:r>
              <w:rPr>
                <w:rFonts w:hint="eastAsia" w:ascii="宋体" w:hAnsi="宋体" w:cs="宋体"/>
                <w:szCs w:val="21"/>
              </w:rPr>
              <w:t>（6）发现中标人或中标人工作人员出现全部或部分丧失履行委托服务能力的情况，采购人有权通知中标人限期整改或更换工作人员，期限届满中标人并未进行改善的；</w:t>
            </w:r>
          </w:p>
          <w:p>
            <w:pPr>
              <w:widowControl/>
              <w:ind w:firstLine="420" w:firstLineChars="200"/>
              <w:rPr>
                <w:rFonts w:ascii="宋体" w:hAnsi="宋体" w:cs="宋体"/>
                <w:szCs w:val="21"/>
              </w:rPr>
            </w:pPr>
            <w:r>
              <w:rPr>
                <w:rFonts w:hint="eastAsia" w:ascii="宋体" w:hAnsi="宋体" w:cs="宋体"/>
                <w:szCs w:val="21"/>
              </w:rPr>
              <w:t>（7）中标人明确表示或者以自己的行为表明不履行合同的。</w:t>
            </w:r>
          </w:p>
          <w:p>
            <w:pPr>
              <w:widowControl/>
              <w:ind w:firstLine="420" w:firstLineChars="200"/>
              <w:rPr>
                <w:rFonts w:ascii="宋体" w:hAnsi="宋体" w:cs="宋体"/>
                <w:szCs w:val="21"/>
              </w:rPr>
            </w:pPr>
            <w:r>
              <w:rPr>
                <w:rFonts w:hint="eastAsia" w:ascii="宋体" w:hAnsi="宋体" w:cs="宋体"/>
                <w:szCs w:val="21"/>
              </w:rPr>
              <w:t>3.除因</w:t>
            </w:r>
            <w:r>
              <w:rPr>
                <w:rFonts w:hint="eastAsia" w:ascii="宋体" w:hAnsi="宋体" w:cs="宋体"/>
                <w:kern w:val="0"/>
                <w:szCs w:val="21"/>
              </w:rPr>
              <w:t>采购人付款审批影响支付进度的情况外，</w:t>
            </w:r>
            <w:r>
              <w:rPr>
                <w:rFonts w:hint="eastAsia" w:ascii="宋体" w:hAnsi="宋体" w:cs="宋体"/>
                <w:szCs w:val="21"/>
              </w:rPr>
              <w:t>如采购人未按照本合同约定的时间支付服务费，中标人书面催告采购人并给予不少于30个工作日的履行期限后采购人仍未支付的，中标人有权自该期限届满之日起要求采购人支付应付而未付合同价款每日1‰的逾期违约金。采购人无正当理由拒绝接受服务，到期明确表示拒绝服务款项的，采购人向中标人偿付本合同总价5%的违约金。</w:t>
            </w:r>
          </w:p>
          <w:p>
            <w:pPr>
              <w:widowControl/>
              <w:ind w:firstLine="420" w:firstLineChars="200"/>
              <w:rPr>
                <w:rFonts w:ascii="宋体" w:hAnsi="宋体" w:cs="宋体"/>
                <w:kern w:val="0"/>
                <w:szCs w:val="21"/>
              </w:rPr>
            </w:pPr>
            <w:r>
              <w:rPr>
                <w:rFonts w:hint="eastAsia" w:ascii="宋体" w:hAnsi="宋体" w:cs="宋体"/>
                <w:szCs w:val="21"/>
              </w:rPr>
              <w:t>4.上述违约责任各自独立且可累加。本合同所约定的违约金如低于因违约行为所造成的损失，违约方应补偿上述不足部分的损失。</w:t>
            </w:r>
          </w:p>
        </w:tc>
        <w:tc>
          <w:tcPr>
            <w:tcW w:w="992" w:type="dxa"/>
            <w:vAlign w:val="center"/>
          </w:tcPr>
          <w:p>
            <w:pPr>
              <w:ind w:firstLine="420" w:firstLineChars="200"/>
              <w:rPr>
                <w:rFonts w:ascii="宋体" w:hAnsi="宋体" w:cs="宋体"/>
              </w:rPr>
            </w:pPr>
          </w:p>
        </w:tc>
        <w:tc>
          <w:tcPr>
            <w:tcW w:w="1289" w:type="dxa"/>
            <w:vAlign w:val="center"/>
          </w:tcPr>
          <w:p>
            <w:pPr>
              <w:ind w:firstLine="420" w:firstLineChars="200"/>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2" w:type="dxa"/>
            <w:vAlign w:val="center"/>
          </w:tcPr>
          <w:p>
            <w:pPr>
              <w:tabs>
                <w:tab w:val="left" w:pos="314"/>
              </w:tabs>
              <w:rPr>
                <w:rFonts w:ascii="宋体" w:hAnsi="宋体" w:cs="宋体"/>
                <w:szCs w:val="21"/>
              </w:rPr>
            </w:pPr>
            <w:r>
              <w:rPr>
                <w:rFonts w:hint="eastAsia" w:ascii="宋体" w:hAnsi="宋体" w:cs="宋体"/>
                <w:szCs w:val="21"/>
              </w:rPr>
              <w:t>15</w:t>
            </w:r>
          </w:p>
        </w:tc>
        <w:tc>
          <w:tcPr>
            <w:tcW w:w="6152" w:type="dxa"/>
            <w:vAlign w:val="center"/>
          </w:tcPr>
          <w:p>
            <w:pPr>
              <w:pStyle w:val="17"/>
              <w:spacing w:before="0" w:beforeAutospacing="0" w:after="0" w:afterAutospacing="0" w:line="360" w:lineRule="auto"/>
              <w:ind w:firstLine="422" w:firstLineChars="200"/>
              <w:outlineLvl w:val="1"/>
              <w:rPr>
                <w:b/>
                <w:szCs w:val="21"/>
              </w:rPr>
            </w:pPr>
            <w:r>
              <w:rPr>
                <w:rFonts w:hint="eastAsia"/>
                <w:b/>
                <w:sz w:val="21"/>
                <w:szCs w:val="21"/>
              </w:rPr>
              <w:t>四、其他要求</w:t>
            </w:r>
          </w:p>
          <w:p>
            <w:pPr>
              <w:pStyle w:val="17"/>
              <w:spacing w:before="0" w:beforeAutospacing="0" w:after="0" w:afterAutospacing="0" w:line="360" w:lineRule="auto"/>
              <w:ind w:firstLine="420" w:firstLineChars="200"/>
              <w:rPr>
                <w:sz w:val="21"/>
                <w:szCs w:val="21"/>
                <w:lang w:val="zh-CN"/>
              </w:rPr>
            </w:pPr>
            <w:r>
              <w:rPr>
                <w:rFonts w:hint="eastAsia"/>
                <w:sz w:val="21"/>
                <w:szCs w:val="21"/>
              </w:rPr>
              <w:t>1.</w:t>
            </w:r>
            <w:r>
              <w:rPr>
                <w:rFonts w:hint="eastAsia"/>
                <w:sz w:val="21"/>
                <w:szCs w:val="21"/>
                <w:lang w:val="zh-CN"/>
              </w:rPr>
              <w:t>若由于</w:t>
            </w:r>
            <w:r>
              <w:rPr>
                <w:rFonts w:hint="eastAsia"/>
                <w:sz w:val="21"/>
                <w:szCs w:val="21"/>
              </w:rPr>
              <w:t>中标人</w:t>
            </w:r>
            <w:r>
              <w:rPr>
                <w:rFonts w:hint="eastAsia"/>
                <w:sz w:val="21"/>
                <w:szCs w:val="21"/>
                <w:lang w:val="zh-CN"/>
              </w:rPr>
              <w:t>原因造成工作进度延迟，工作成果质量低劣，不能满足采购人工作需要和要求时，采购人有权解除合同，</w:t>
            </w:r>
            <w:r>
              <w:rPr>
                <w:rFonts w:hint="eastAsia"/>
                <w:sz w:val="21"/>
                <w:szCs w:val="21"/>
              </w:rPr>
              <w:t>中标人</w:t>
            </w:r>
            <w:r>
              <w:rPr>
                <w:rFonts w:hint="eastAsia"/>
                <w:sz w:val="21"/>
                <w:szCs w:val="21"/>
                <w:lang w:val="zh-CN"/>
              </w:rPr>
              <w:t>除应退还采购人已支付的全部款项外,还应在合同解除通知发出之日起10日内向采购人支付合同总价款20%的违约金。</w:t>
            </w:r>
            <w:r>
              <w:rPr>
                <w:rFonts w:hint="eastAsia"/>
                <w:sz w:val="21"/>
                <w:szCs w:val="21"/>
              </w:rPr>
              <w:t>中标人</w:t>
            </w:r>
            <w:r>
              <w:rPr>
                <w:rFonts w:hint="eastAsia"/>
                <w:sz w:val="21"/>
                <w:szCs w:val="21"/>
                <w:lang w:val="zh-CN"/>
              </w:rPr>
              <w:t>应同时将已完成的项目成果移交给采购人，并将全部有关资料退还采购人。</w:t>
            </w:r>
          </w:p>
          <w:p>
            <w:pPr>
              <w:pStyle w:val="17"/>
              <w:spacing w:before="0" w:beforeAutospacing="0" w:after="0" w:afterAutospacing="0" w:line="360" w:lineRule="auto"/>
              <w:ind w:firstLine="420" w:firstLineChars="200"/>
              <w:rPr>
                <w:sz w:val="21"/>
                <w:szCs w:val="21"/>
                <w:lang w:val="zh-CN"/>
              </w:rPr>
            </w:pPr>
            <w:r>
              <w:rPr>
                <w:rFonts w:hint="eastAsia"/>
                <w:sz w:val="21"/>
                <w:szCs w:val="21"/>
                <w:lang w:val="zh-CN"/>
              </w:rPr>
              <w:t>2.</w:t>
            </w:r>
            <w:r>
              <w:rPr>
                <w:rFonts w:hint="eastAsia"/>
                <w:sz w:val="21"/>
                <w:szCs w:val="21"/>
              </w:rPr>
              <w:t>中标人</w:t>
            </w:r>
            <w:r>
              <w:rPr>
                <w:rFonts w:hint="eastAsia"/>
                <w:sz w:val="21"/>
                <w:szCs w:val="21"/>
                <w:lang w:val="zh-CN"/>
              </w:rPr>
              <w:t>不得将项目非法分包或转包给任何单位和个人。否则，采购</w:t>
            </w:r>
            <w:r>
              <w:rPr>
                <w:rFonts w:hint="eastAsia"/>
                <w:sz w:val="21"/>
                <w:szCs w:val="21"/>
              </w:rPr>
              <w:t>人</w:t>
            </w:r>
            <w:r>
              <w:rPr>
                <w:rFonts w:hint="eastAsia"/>
                <w:sz w:val="21"/>
                <w:szCs w:val="21"/>
                <w:lang w:val="zh-CN"/>
              </w:rPr>
              <w:t>有权即刻终止合同，并要求</w:t>
            </w:r>
            <w:r>
              <w:rPr>
                <w:rFonts w:hint="eastAsia"/>
                <w:sz w:val="21"/>
                <w:szCs w:val="21"/>
              </w:rPr>
              <w:t>中标人</w:t>
            </w:r>
            <w:r>
              <w:rPr>
                <w:rFonts w:hint="eastAsia"/>
                <w:sz w:val="21"/>
                <w:szCs w:val="21"/>
                <w:lang w:val="zh-CN"/>
              </w:rPr>
              <w:t>赔偿相应损失。</w:t>
            </w:r>
          </w:p>
          <w:p>
            <w:pPr>
              <w:widowControl/>
              <w:ind w:firstLine="420" w:firstLineChars="200"/>
              <w:rPr>
                <w:rFonts w:ascii="宋体" w:hAnsi="宋体" w:cs="宋体"/>
                <w:szCs w:val="21"/>
              </w:rPr>
            </w:pPr>
          </w:p>
        </w:tc>
        <w:tc>
          <w:tcPr>
            <w:tcW w:w="992" w:type="dxa"/>
            <w:vAlign w:val="center"/>
          </w:tcPr>
          <w:p>
            <w:pPr>
              <w:ind w:firstLine="420" w:firstLineChars="200"/>
              <w:rPr>
                <w:rFonts w:ascii="宋体" w:hAnsi="宋体" w:cs="宋体"/>
              </w:rPr>
            </w:pPr>
          </w:p>
        </w:tc>
        <w:tc>
          <w:tcPr>
            <w:tcW w:w="1289" w:type="dxa"/>
            <w:vAlign w:val="center"/>
          </w:tcPr>
          <w:p>
            <w:pPr>
              <w:ind w:firstLine="420" w:firstLineChars="200"/>
              <w:rPr>
                <w:rFonts w:ascii="宋体" w:hAnsi="宋体" w:cs="宋体"/>
              </w:rPr>
            </w:pPr>
          </w:p>
        </w:tc>
      </w:tr>
    </w:tbl>
    <w:p/>
    <w:p>
      <w:r>
        <w:fldChar w:fldCharType="begin"/>
      </w:r>
      <w:r>
        <w:instrText xml:space="preserve">ADDIN CNKISM.UserStyle</w:instrText>
      </w:r>
      <w:r>
        <w:fldChar w:fldCharType="end"/>
      </w:r>
    </w:p>
    <w:p>
      <w:pPr>
        <w:jc w:val="center"/>
        <w:outlineLvl w:val="1"/>
        <w:rPr>
          <w:rFonts w:ascii="宋体" w:hAnsi="宋体" w:cs="宋体"/>
          <w:b/>
          <w:bCs/>
          <w:sz w:val="30"/>
          <w:szCs w:val="30"/>
        </w:rPr>
      </w:pPr>
      <w:bookmarkStart w:id="63" w:name="_Toc76054664"/>
      <w:r>
        <w:rPr>
          <w:rFonts w:hint="eastAsia" w:ascii="宋体" w:hAnsi="宋体" w:cs="宋体"/>
          <w:b/>
          <w:bCs/>
          <w:sz w:val="30"/>
          <w:szCs w:val="30"/>
        </w:rPr>
        <w:br w:type="page"/>
      </w:r>
      <w:r>
        <w:rPr>
          <w:rFonts w:hint="eastAsia" w:ascii="宋体" w:hAnsi="宋体" w:cs="宋体"/>
          <w:b/>
          <w:bCs/>
          <w:sz w:val="30"/>
          <w:szCs w:val="30"/>
        </w:rPr>
        <w:t>十二、投标人认为需提供的其它文件及评分所需证明文件</w:t>
      </w:r>
      <w:bookmarkEnd w:id="63"/>
    </w:p>
    <w:p>
      <w:pPr>
        <w:pStyle w:val="6"/>
        <w:spacing w:before="0" w:after="0" w:line="240" w:lineRule="auto"/>
        <w:jc w:val="center"/>
        <w:rPr>
          <w:b w:val="0"/>
          <w:bCs w:val="0"/>
          <w:sz w:val="24"/>
          <w:szCs w:val="24"/>
        </w:rPr>
      </w:pPr>
      <w:r>
        <w:rPr>
          <w:rFonts w:hint="eastAsia"/>
          <w:b w:val="0"/>
          <w:bCs w:val="0"/>
          <w:sz w:val="24"/>
          <w:szCs w:val="24"/>
        </w:rPr>
        <w:t>1.中小企业声明函（仅限小型企业、微型企业）</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本单位郑重声明，根据《政府采购促进中小企业发展暂行办法》（财库〔20</w:t>
      </w:r>
      <w:r>
        <w:rPr>
          <w:rFonts w:ascii="宋体" w:hAnsi="宋体"/>
          <w:szCs w:val="21"/>
        </w:rPr>
        <w:t>11</w:t>
      </w:r>
      <w:r>
        <w:rPr>
          <w:rFonts w:hint="eastAsia" w:ascii="宋体" w:hAnsi="宋体"/>
          <w:szCs w:val="21"/>
        </w:rPr>
        <w:t>〕</w:t>
      </w:r>
      <w:r>
        <w:rPr>
          <w:rFonts w:ascii="宋体" w:hAnsi="宋体"/>
          <w:szCs w:val="21"/>
        </w:rPr>
        <w:t>181</w:t>
      </w:r>
      <w:r>
        <w:rPr>
          <w:rFonts w:hint="eastAsia" w:ascii="宋体" w:hAnsi="宋体"/>
          <w:szCs w:val="21"/>
        </w:rPr>
        <w:t>号）的规定，本单位为（请填写：中型、小型、微型）企业。即，本单位同时满足以下条件：</w:t>
      </w:r>
    </w:p>
    <w:p>
      <w:pPr>
        <w:ind w:firstLine="420" w:firstLineChars="200"/>
        <w:rPr>
          <w:rFonts w:ascii="宋体" w:hAnsi="宋体"/>
          <w:szCs w:val="21"/>
        </w:rPr>
      </w:pPr>
      <w:r>
        <w:rPr>
          <w:rFonts w:hint="eastAsia" w:ascii="宋体" w:hAnsi="宋体"/>
          <w:szCs w:val="21"/>
        </w:rPr>
        <w:t>1.根据《工业和信息化部、国家统计局、国家发展和改革委员会、财政部关于印发中小企业划型标准规定的通知》（工信部联企业〔2011〕300号）规定的划分标准，本单位为（请填写：中型、小型、微型）企业。</w:t>
      </w:r>
    </w:p>
    <w:p>
      <w:pPr>
        <w:ind w:firstLine="420" w:firstLineChars="200"/>
        <w:rPr>
          <w:rFonts w:ascii="宋体" w:hAnsi="宋体"/>
          <w:szCs w:val="21"/>
        </w:rPr>
      </w:pPr>
      <w:r>
        <w:rPr>
          <w:rFonts w:hint="eastAsia" w:ascii="宋体" w:hAnsi="宋体"/>
          <w:szCs w:val="21"/>
        </w:rPr>
        <w:t>2.本单位参加项目编号为的</w:t>
      </w:r>
      <w:r>
        <w:rPr>
          <w:rFonts w:hint="eastAsia" w:ascii="宋体" w:hAnsi="宋体"/>
          <w:szCs w:val="21"/>
          <w:u w:val="single"/>
        </w:rPr>
        <w:t xml:space="preserve">   (项目名称)   </w:t>
      </w:r>
      <w:r>
        <w:rPr>
          <w:rFonts w:hint="eastAsia" w:ascii="宋体" w:hAnsi="宋体"/>
          <w:szCs w:val="21"/>
        </w:rPr>
        <w:t>的采购活动，并提供（承诺人在□处打√）:□本企业制造的货物;□由本企业承担工程、提供服务;□提供其他企业（请填写：中型、小型、微型）制造的货物。本条所称货物是指单一产品采购项目中的货物，或者非单一产品采购项目中的核心产品（货物），不包括使用大型企业注册商标的货物。</w:t>
      </w:r>
    </w:p>
    <w:p>
      <w:pPr>
        <w:ind w:firstLine="420" w:firstLineChars="200"/>
        <w:rPr>
          <w:rFonts w:ascii="宋体" w:hAnsi="宋体"/>
          <w:szCs w:val="21"/>
        </w:rPr>
      </w:pPr>
      <w:r>
        <w:rPr>
          <w:rFonts w:hint="eastAsia" w:ascii="宋体" w:hAnsi="宋体"/>
          <w:szCs w:val="21"/>
        </w:rPr>
        <w:t>本单位对上述声明的真实性负责。若有虚假承诺，视同提供虚假资料，将依法承担相应法律责任。</w:t>
      </w:r>
    </w:p>
    <w:p>
      <w:pPr>
        <w:ind w:firstLine="420" w:firstLineChars="200"/>
        <w:jc w:val="left"/>
        <w:rPr>
          <w:rFonts w:ascii="宋体" w:hAnsi="宋体"/>
          <w:szCs w:val="21"/>
        </w:rPr>
      </w:pPr>
      <w:r>
        <w:rPr>
          <w:rFonts w:hint="eastAsia" w:ascii="宋体" w:hAnsi="宋体"/>
          <w:szCs w:val="21"/>
        </w:rPr>
        <w:t>本公司已知悉《政府采购促进中小企业发展管理办法》（财库〔2020〕46 号）、《中小企业划型标准规定》（工信部联企〔2011〕300 号）、《统计上大中小微型企业划分办法（2017）》等 规定，承诺提供的声明函内容是真实的，并知悉根据《政府采购促进中小企业发展管理办法》（财库〔2020〕46 号）第二十条规定，供应商按照本办法规定提供声明函内容不实的，属于提供虚假材料谋取中标、成交，依照《政府采购法》 等政府采购有关法律法规规定追究相应责任。本企业对上述声明内容的真实性负责。如有虚假，将依法承担相应责任。</w:t>
      </w:r>
    </w:p>
    <w:p>
      <w:pPr>
        <w:pStyle w:val="2"/>
      </w:pPr>
    </w:p>
    <w:p>
      <w:pPr>
        <w:ind w:firstLine="420" w:firstLineChars="200"/>
        <w:rPr>
          <w:rFonts w:ascii="宋体" w:hAnsi="宋体"/>
          <w:szCs w:val="21"/>
        </w:rPr>
      </w:pPr>
    </w:p>
    <w:p>
      <w:pPr>
        <w:ind w:firstLine="3150" w:firstLineChars="1500"/>
        <w:jc w:val="left"/>
        <w:rPr>
          <w:szCs w:val="21"/>
        </w:rPr>
      </w:pPr>
      <w:r>
        <w:rPr>
          <w:rFonts w:hint="eastAsia"/>
          <w:szCs w:val="21"/>
        </w:rPr>
        <w:t>法定代表人或其授权委托人（</w:t>
      </w:r>
      <w:r>
        <w:rPr>
          <w:rFonts w:hint="eastAsia"/>
          <w:b/>
          <w:szCs w:val="21"/>
        </w:rPr>
        <w:t>签名</w:t>
      </w:r>
      <w:r>
        <w:rPr>
          <w:rFonts w:hint="eastAsia"/>
          <w:szCs w:val="21"/>
        </w:rPr>
        <w:t>）：</w:t>
      </w:r>
    </w:p>
    <w:p>
      <w:pPr>
        <w:ind w:firstLine="3150" w:firstLineChars="1500"/>
        <w:jc w:val="left"/>
        <w:rPr>
          <w:szCs w:val="21"/>
        </w:rPr>
      </w:pPr>
      <w:r>
        <w:rPr>
          <w:rFonts w:hint="eastAsia"/>
          <w:szCs w:val="21"/>
        </w:rPr>
        <w:t>投标单位（</w:t>
      </w:r>
      <w:r>
        <w:rPr>
          <w:rFonts w:hint="eastAsia"/>
          <w:b/>
          <w:szCs w:val="21"/>
        </w:rPr>
        <w:t>盖公章</w:t>
      </w:r>
      <w:r>
        <w:rPr>
          <w:rFonts w:hint="eastAsia"/>
          <w:szCs w:val="21"/>
        </w:rPr>
        <w:t>）：</w:t>
      </w:r>
    </w:p>
    <w:p>
      <w:pPr>
        <w:jc w:val="center"/>
        <w:rPr>
          <w:szCs w:val="21"/>
        </w:rPr>
      </w:pPr>
      <w:r>
        <w:rPr>
          <w:rFonts w:hint="eastAsia"/>
          <w:szCs w:val="21"/>
        </w:rPr>
        <w:t xml:space="preserve">               </w:t>
      </w:r>
    </w:p>
    <w:p>
      <w:pPr>
        <w:jc w:val="right"/>
        <w:rPr>
          <w:szCs w:val="21"/>
        </w:rPr>
      </w:pPr>
      <w:r>
        <w:rPr>
          <w:rFonts w:hint="eastAsia"/>
          <w:szCs w:val="21"/>
        </w:rPr>
        <w:t xml:space="preserve">   日期：年月日</w:t>
      </w:r>
    </w:p>
    <w:p>
      <w:pPr>
        <w:ind w:firstLine="420" w:firstLineChars="200"/>
        <w:rPr>
          <w:rFonts w:ascii="宋体" w:hAnsi="宋体"/>
          <w:szCs w:val="21"/>
        </w:rPr>
      </w:pPr>
    </w:p>
    <w:p>
      <w:pPr>
        <w:wordWrap w:val="0"/>
        <w:ind w:firstLine="420" w:firstLineChars="200"/>
        <w:jc w:val="right"/>
        <w:rPr>
          <w:rFonts w:ascii="宋体" w:hAnsi="宋体"/>
          <w:szCs w:val="21"/>
        </w:rPr>
      </w:pPr>
    </w:p>
    <w:p>
      <w:pPr>
        <w:pStyle w:val="6"/>
        <w:spacing w:before="0" w:after="0" w:line="240" w:lineRule="auto"/>
        <w:jc w:val="center"/>
        <w:rPr>
          <w:b w:val="0"/>
          <w:bCs w:val="0"/>
          <w:sz w:val="24"/>
          <w:szCs w:val="24"/>
        </w:rPr>
      </w:pPr>
      <w:r>
        <w:rPr>
          <w:rFonts w:hint="eastAsia"/>
          <w:b w:val="0"/>
          <w:bCs w:val="0"/>
          <w:sz w:val="24"/>
          <w:szCs w:val="24"/>
        </w:rPr>
        <w:br w:type="page"/>
      </w:r>
      <w:r>
        <w:rPr>
          <w:rFonts w:hint="eastAsia"/>
          <w:b w:val="0"/>
          <w:bCs w:val="0"/>
          <w:sz w:val="24"/>
          <w:szCs w:val="24"/>
        </w:rPr>
        <w:t>2.残疾人福利性单位声明函（仅限残疾人福利性单位）</w:t>
      </w:r>
    </w:p>
    <w:p>
      <w:pPr>
        <w:rPr>
          <w:b/>
          <w:bCs/>
        </w:rPr>
      </w:pPr>
    </w:p>
    <w:p>
      <w:pPr>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中国残疾人联合会关于促进残疾人就业政府采购政策的通知》（财库〔2017〕141号）的规定，本单位为符合条件的残疾人福利性单位，且本单位参加项目编号为的</w:t>
      </w:r>
      <w:r>
        <w:rPr>
          <w:rFonts w:hint="eastAsia" w:ascii="宋体" w:hAnsi="宋体"/>
          <w:szCs w:val="21"/>
          <w:u w:val="single"/>
        </w:rPr>
        <w:t xml:space="preserve">   (项目名称)   </w:t>
      </w:r>
      <w:r>
        <w:rPr>
          <w:rFonts w:hint="eastAsia" w:ascii="宋体" w:hAnsi="宋体"/>
          <w:szCs w:val="21"/>
        </w:rPr>
        <w:t>的采购活动，并提供（承诺人在□处打√）:□本单位制造的货物;□由本单位承担工程、提供服务;□提供其他残疾人福利性单位制造的货物。本条所称货物是指单一产品采购项目中的货物，或者非单一产品采购项目中的核心产品（货物），不包括使用非残疾人福利性单位注册商标的货物。</w:t>
      </w:r>
    </w:p>
    <w:p>
      <w:pPr>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号）的规定，承诺提供的声明函内容是真实的，如提供声明函内容不实，则依法追究相关法律责任。本单位对上述声明的真实性负责。如有虚假，将依法承担相应责任。</w:t>
      </w:r>
    </w:p>
    <w:p>
      <w:pPr>
        <w:ind w:firstLine="3150" w:firstLineChars="1500"/>
        <w:jc w:val="left"/>
        <w:rPr>
          <w:szCs w:val="21"/>
        </w:rPr>
      </w:pPr>
    </w:p>
    <w:p>
      <w:pPr>
        <w:ind w:firstLine="3150" w:firstLineChars="1500"/>
        <w:jc w:val="left"/>
        <w:rPr>
          <w:szCs w:val="21"/>
        </w:rPr>
      </w:pPr>
    </w:p>
    <w:p>
      <w:pPr>
        <w:ind w:firstLine="3150" w:firstLineChars="1500"/>
        <w:jc w:val="left"/>
        <w:rPr>
          <w:szCs w:val="21"/>
        </w:rPr>
      </w:pPr>
      <w:r>
        <w:rPr>
          <w:rFonts w:hint="eastAsia"/>
          <w:szCs w:val="21"/>
        </w:rPr>
        <w:t>法定代表人或其授权委托人（</w:t>
      </w:r>
      <w:r>
        <w:rPr>
          <w:rFonts w:hint="eastAsia"/>
          <w:b/>
          <w:szCs w:val="21"/>
        </w:rPr>
        <w:t>签名</w:t>
      </w:r>
      <w:r>
        <w:rPr>
          <w:rFonts w:hint="eastAsia"/>
          <w:szCs w:val="21"/>
        </w:rPr>
        <w:t>）：</w:t>
      </w:r>
    </w:p>
    <w:p>
      <w:pPr>
        <w:ind w:firstLine="3150" w:firstLineChars="1500"/>
        <w:jc w:val="left"/>
        <w:rPr>
          <w:szCs w:val="21"/>
        </w:rPr>
      </w:pPr>
      <w:r>
        <w:rPr>
          <w:rFonts w:hint="eastAsia"/>
          <w:szCs w:val="21"/>
        </w:rPr>
        <w:t>投标单位（</w:t>
      </w:r>
      <w:r>
        <w:rPr>
          <w:rFonts w:hint="eastAsia"/>
          <w:b/>
          <w:szCs w:val="21"/>
        </w:rPr>
        <w:t>盖公章</w:t>
      </w:r>
      <w:r>
        <w:rPr>
          <w:rFonts w:hint="eastAsia"/>
          <w:szCs w:val="21"/>
        </w:rPr>
        <w:t>）：</w:t>
      </w:r>
    </w:p>
    <w:p>
      <w:pPr>
        <w:spacing w:line="360" w:lineRule="auto"/>
        <w:jc w:val="center"/>
        <w:rPr>
          <w:szCs w:val="21"/>
        </w:rPr>
      </w:pPr>
      <w:r>
        <w:rPr>
          <w:rFonts w:hint="eastAsia"/>
          <w:szCs w:val="21"/>
        </w:rPr>
        <w:t xml:space="preserve">               </w:t>
      </w:r>
    </w:p>
    <w:p>
      <w:pPr>
        <w:spacing w:line="360" w:lineRule="auto"/>
        <w:jc w:val="right"/>
        <w:rPr>
          <w:szCs w:val="21"/>
        </w:rPr>
      </w:pPr>
      <w:r>
        <w:rPr>
          <w:rFonts w:hint="eastAsia"/>
          <w:szCs w:val="21"/>
        </w:rPr>
        <w:t xml:space="preserve">   日期：年月日</w:t>
      </w:r>
    </w:p>
    <w:p>
      <w:pPr>
        <w:ind w:firstLine="420" w:firstLineChars="200"/>
        <w:rPr>
          <w:rFonts w:ascii="宋体" w:hAnsi="宋体"/>
          <w:szCs w:val="21"/>
        </w:rPr>
      </w:pPr>
    </w:p>
    <w:p>
      <w:pPr>
        <w:wordWrap w:val="0"/>
        <w:ind w:right="315" w:firstLine="420" w:firstLineChars="200"/>
        <w:jc w:val="right"/>
        <w:rPr>
          <w:rFonts w:ascii="宋体" w:hAnsi="宋体"/>
          <w:szCs w:val="21"/>
        </w:rPr>
      </w:pPr>
    </w:p>
    <w:p>
      <w:pPr>
        <w:ind w:firstLine="420" w:firstLineChars="200"/>
      </w:pPr>
    </w:p>
    <w:p>
      <w:pPr>
        <w:pStyle w:val="6"/>
        <w:spacing w:before="0" w:after="0" w:line="240" w:lineRule="auto"/>
        <w:jc w:val="center"/>
        <w:rPr>
          <w:b w:val="0"/>
          <w:bCs w:val="0"/>
          <w:sz w:val="24"/>
          <w:szCs w:val="24"/>
        </w:rPr>
      </w:pPr>
      <w:r>
        <w:rPr>
          <w:rFonts w:hint="eastAsia"/>
          <w:b w:val="0"/>
          <w:bCs w:val="0"/>
          <w:sz w:val="24"/>
          <w:szCs w:val="24"/>
        </w:rPr>
        <w:t>3.监狱企业声明函（仅限监狱企业）</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司法部关于政府采购支持监狱企业发展有关问题的通知》（财库〔2014〕68号）的规定，本单位为符合条件的监狱企业，且本单位参加项目编号为的</w:t>
      </w:r>
      <w:r>
        <w:rPr>
          <w:rFonts w:hint="eastAsia" w:ascii="宋体" w:hAnsi="宋体"/>
          <w:szCs w:val="21"/>
          <w:u w:val="single"/>
        </w:rPr>
        <w:t xml:space="preserve">   (项目名称)   </w:t>
      </w:r>
      <w:r>
        <w:rPr>
          <w:rFonts w:hint="eastAsia" w:ascii="宋体" w:hAnsi="宋体"/>
          <w:szCs w:val="21"/>
        </w:rPr>
        <w:t>的采购活动，并提供（承诺人在□处打√）:□本单位制造的货物;□由本单位承担工程、提供服务;□提供其他监狱企业制造的货物。本条所称货物是指单一产品采购项目中的货物，或者非单一产品采购项目中的核心产品（货物）。</w:t>
      </w:r>
    </w:p>
    <w:p>
      <w:pPr>
        <w:ind w:firstLine="420" w:firstLineChars="200"/>
        <w:rPr>
          <w:rFonts w:ascii="宋体" w:hAnsi="宋体"/>
          <w:szCs w:val="21"/>
        </w:rPr>
      </w:pPr>
      <w:r>
        <w:rPr>
          <w:rFonts w:hint="eastAsia" w:ascii="宋体" w:hAnsi="宋体"/>
          <w:szCs w:val="21"/>
        </w:rPr>
        <w:t>本单位对上述声明的真实性负责。若有虚假承诺，视同提供虚假资料，将依法承担相应法律责任。</w:t>
      </w:r>
    </w:p>
    <w:p>
      <w:pPr>
        <w:ind w:firstLine="420" w:firstLineChars="200"/>
        <w:rPr>
          <w:rFonts w:ascii="宋体" w:hAnsi="宋体"/>
          <w:szCs w:val="21"/>
        </w:rPr>
      </w:pPr>
      <w:r>
        <w:rPr>
          <w:rFonts w:hint="eastAsia" w:ascii="宋体" w:hAnsi="宋体"/>
          <w:szCs w:val="21"/>
        </w:rPr>
        <w:t>附：省级以上监狱管理局、戒毒管理局（含新疆生产建设兵团）出具的属于监狱企业的证明文件。</w:t>
      </w:r>
    </w:p>
    <w:p>
      <w:pPr>
        <w:ind w:firstLine="420" w:firstLineChars="200"/>
        <w:rPr>
          <w:rFonts w:ascii="宋体" w:hAnsi="宋体"/>
          <w:szCs w:val="21"/>
        </w:rPr>
      </w:pPr>
    </w:p>
    <w:p>
      <w:pPr>
        <w:ind w:firstLine="3150" w:firstLineChars="1500"/>
        <w:jc w:val="left"/>
        <w:rPr>
          <w:szCs w:val="21"/>
        </w:rPr>
      </w:pPr>
      <w:r>
        <w:rPr>
          <w:rFonts w:hint="eastAsia"/>
          <w:szCs w:val="21"/>
        </w:rPr>
        <w:t>法定代表人或其授权委托人（</w:t>
      </w:r>
      <w:r>
        <w:rPr>
          <w:rFonts w:hint="eastAsia"/>
          <w:b/>
          <w:szCs w:val="21"/>
        </w:rPr>
        <w:t>签名</w:t>
      </w:r>
      <w:r>
        <w:rPr>
          <w:rFonts w:hint="eastAsia"/>
          <w:szCs w:val="21"/>
        </w:rPr>
        <w:t>）：</w:t>
      </w:r>
    </w:p>
    <w:p>
      <w:pPr>
        <w:ind w:firstLine="3150" w:firstLineChars="1500"/>
        <w:jc w:val="left"/>
        <w:rPr>
          <w:szCs w:val="21"/>
        </w:rPr>
      </w:pPr>
      <w:r>
        <w:rPr>
          <w:rFonts w:hint="eastAsia"/>
          <w:szCs w:val="21"/>
        </w:rPr>
        <w:t>投标单位（</w:t>
      </w:r>
      <w:r>
        <w:rPr>
          <w:rFonts w:hint="eastAsia"/>
          <w:b/>
          <w:szCs w:val="21"/>
        </w:rPr>
        <w:t>盖公章</w:t>
      </w:r>
      <w:r>
        <w:rPr>
          <w:rFonts w:hint="eastAsia"/>
          <w:szCs w:val="21"/>
        </w:rPr>
        <w:t>）：</w:t>
      </w:r>
    </w:p>
    <w:p>
      <w:pPr>
        <w:jc w:val="center"/>
        <w:rPr>
          <w:szCs w:val="21"/>
        </w:rPr>
      </w:pPr>
      <w:r>
        <w:rPr>
          <w:rFonts w:hint="eastAsia"/>
          <w:szCs w:val="21"/>
        </w:rPr>
        <w:t xml:space="preserve">               </w:t>
      </w:r>
    </w:p>
    <w:p>
      <w:pPr>
        <w:jc w:val="right"/>
        <w:rPr>
          <w:szCs w:val="21"/>
        </w:rPr>
      </w:pPr>
      <w:r>
        <w:rPr>
          <w:rFonts w:hint="eastAsia"/>
          <w:szCs w:val="21"/>
        </w:rPr>
        <w:t xml:space="preserve">   日期：年月日</w:t>
      </w:r>
    </w:p>
    <w:p>
      <w:pPr>
        <w:ind w:firstLine="420" w:firstLineChars="200"/>
        <w:rPr>
          <w:rFonts w:ascii="宋体" w:hAnsi="宋体"/>
          <w:szCs w:val="21"/>
        </w:rPr>
      </w:pPr>
    </w:p>
    <w:p>
      <w:pPr>
        <w:rPr>
          <w:rFonts w:ascii="黑体" w:hAnsi="黑体" w:eastAsia="黑体"/>
          <w:sz w:val="24"/>
        </w:rPr>
      </w:pPr>
    </w:p>
    <w:p>
      <w:pPr>
        <w:jc w:val="left"/>
        <w:rPr>
          <w:sz w:val="24"/>
        </w:rPr>
      </w:pPr>
    </w:p>
    <w:p>
      <w:pPr>
        <w:jc w:val="left"/>
        <w:rPr>
          <w:sz w:val="24"/>
        </w:rPr>
      </w:pPr>
    </w:p>
    <w:p>
      <w:pPr>
        <w:jc w:val="left"/>
        <w:rPr>
          <w:sz w:val="24"/>
        </w:rPr>
      </w:pPr>
    </w:p>
    <w:p>
      <w:pPr>
        <w:jc w:val="left"/>
        <w:rPr>
          <w:sz w:val="24"/>
        </w:rPr>
      </w:pPr>
    </w:p>
    <w:p>
      <w:pPr>
        <w:spacing w:line="360" w:lineRule="auto"/>
        <w:jc w:val="center"/>
        <w:outlineLvl w:val="0"/>
        <w:rPr>
          <w:b/>
          <w:bCs/>
          <w:sz w:val="30"/>
        </w:rPr>
      </w:pPr>
      <w:r>
        <w:rPr>
          <w:rFonts w:hint="eastAsia"/>
          <w:b/>
          <w:bCs/>
          <w:sz w:val="30"/>
        </w:rPr>
        <w:br w:type="page"/>
      </w:r>
      <w:bookmarkStart w:id="64" w:name="_Toc76054665"/>
      <w:r>
        <w:rPr>
          <w:rFonts w:hint="eastAsia"/>
          <w:b/>
          <w:bCs/>
          <w:sz w:val="32"/>
        </w:rPr>
        <w:t>第八章 招标项目评分表</w:t>
      </w:r>
      <w:bookmarkEnd w:id="64"/>
    </w:p>
    <w:tbl>
      <w:tblPr>
        <w:tblStyle w:val="20"/>
        <w:tblW w:w="94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2"/>
        <w:gridCol w:w="1267"/>
        <w:gridCol w:w="850"/>
        <w:gridCol w:w="5670"/>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349" w:type="dxa"/>
            <w:gridSpan w:val="4"/>
            <w:vAlign w:val="center"/>
          </w:tcPr>
          <w:p>
            <w:pPr>
              <w:autoSpaceDE w:val="0"/>
              <w:autoSpaceDN w:val="0"/>
              <w:adjustRightInd w:val="0"/>
              <w:jc w:val="center"/>
              <w:rPr>
                <w:rFonts w:ascii="宋体" w:hAnsi="宋体"/>
                <w:b/>
                <w:szCs w:val="21"/>
                <w:lang w:val="zh-CN"/>
              </w:rPr>
            </w:pPr>
            <w:r>
              <w:rPr>
                <w:rFonts w:hint="eastAsia" w:ascii="宋体" w:hAnsi="宋体"/>
                <w:b/>
                <w:szCs w:val="21"/>
                <w:lang w:val="zh-CN"/>
              </w:rPr>
              <w:t>评分项及评分规则</w:t>
            </w:r>
          </w:p>
        </w:tc>
        <w:tc>
          <w:tcPr>
            <w:tcW w:w="1134" w:type="dxa"/>
            <w:vAlign w:val="center"/>
          </w:tcPr>
          <w:p>
            <w:pPr>
              <w:autoSpaceDE w:val="0"/>
              <w:autoSpaceDN w:val="0"/>
              <w:adjustRightInd w:val="0"/>
              <w:jc w:val="center"/>
              <w:rPr>
                <w:rFonts w:ascii="宋体" w:hAnsi="宋体"/>
                <w:b/>
                <w:szCs w:val="21"/>
                <w:lang w:val="zh-CN"/>
              </w:rPr>
            </w:pPr>
            <w:r>
              <w:rPr>
                <w:rFonts w:hint="eastAsia" w:ascii="宋体" w:hAnsi="宋体"/>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349" w:type="dxa"/>
            <w:gridSpan w:val="4"/>
            <w:vAlign w:val="center"/>
          </w:tcPr>
          <w:p>
            <w:pPr>
              <w:autoSpaceDE w:val="0"/>
              <w:autoSpaceDN w:val="0"/>
              <w:adjustRightInd w:val="0"/>
              <w:jc w:val="center"/>
              <w:rPr>
                <w:rFonts w:ascii="宋体" w:hAnsi="宋体"/>
                <w:szCs w:val="21"/>
              </w:rPr>
            </w:pPr>
            <w:r>
              <w:rPr>
                <w:rFonts w:hint="eastAsia" w:ascii="宋体" w:hAnsi="宋体"/>
                <w:b/>
                <w:szCs w:val="21"/>
                <w:lang w:val="zh-CN"/>
              </w:rPr>
              <w:t>一、价格部分</w:t>
            </w:r>
          </w:p>
        </w:tc>
        <w:tc>
          <w:tcPr>
            <w:tcW w:w="1134" w:type="dxa"/>
            <w:vAlign w:val="center"/>
          </w:tcPr>
          <w:p>
            <w:pPr>
              <w:autoSpaceDE w:val="0"/>
              <w:autoSpaceDN w:val="0"/>
              <w:adjustRightInd w:val="0"/>
              <w:jc w:val="center"/>
              <w:rPr>
                <w:rFonts w:ascii="宋体" w:hAnsi="宋体"/>
                <w:szCs w:val="21"/>
              </w:rPr>
            </w:pPr>
            <w:r>
              <w:rPr>
                <w:rFonts w:hint="eastAsia" w:ascii="宋体" w:hAnsi="宋体"/>
                <w:szCs w:val="21"/>
              </w:rPr>
              <w:t>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8349" w:type="dxa"/>
            <w:gridSpan w:val="4"/>
            <w:vAlign w:val="center"/>
          </w:tcPr>
          <w:p>
            <w:pPr>
              <w:autoSpaceDE w:val="0"/>
              <w:autoSpaceDN w:val="0"/>
              <w:adjustRightInd w:val="0"/>
              <w:jc w:val="left"/>
            </w:pPr>
            <w:r>
              <w:rPr>
                <w:rFonts w:hint="eastAsia"/>
              </w:rPr>
              <w:t>价格分采用低价优先法计算，即满足招标文件要求且投标价格最低的投标报价为评标基准价，其价格分为满分。其他投标人的价格分按照下列公式计算：</w:t>
            </w:r>
          </w:p>
          <w:p>
            <w:pPr>
              <w:autoSpaceDE w:val="0"/>
              <w:autoSpaceDN w:val="0"/>
              <w:adjustRightInd w:val="0"/>
              <w:jc w:val="left"/>
            </w:pPr>
            <w:r>
              <w:rPr>
                <w:rFonts w:hint="eastAsia"/>
              </w:rPr>
              <w:t>投标报价得分</w:t>
            </w:r>
            <w:r>
              <w:t>=(</w:t>
            </w:r>
            <w:r>
              <w:rPr>
                <w:rFonts w:hint="eastAsia"/>
              </w:rPr>
              <w:t>评标基准价／投标报价</w:t>
            </w:r>
            <w:r>
              <w:t>)</w:t>
            </w:r>
            <w:r>
              <w:rPr>
                <w:rFonts w:hint="eastAsia"/>
              </w:rPr>
              <w:t>×价格分权重</w:t>
            </w:r>
          </w:p>
          <w:p>
            <w:r>
              <w:rPr>
                <w:rFonts w:hint="eastAsia"/>
              </w:rPr>
              <w:t>注：根据财库〔2020〕46号、财库[2014]68号、财库[2017]141号及深府购[2020]24号文件规定：本项目非专门面向中小企业的项目，对小型和微型企业的投标报价扣除10%后参与评审，对残疾人福利性单位和监狱企业的投标报价扣除10%后参与评审。</w:t>
            </w:r>
          </w:p>
          <w:p>
            <w:pPr>
              <w:autoSpaceDE w:val="0"/>
              <w:autoSpaceDN w:val="0"/>
              <w:adjustRightInd w:val="0"/>
            </w:pPr>
            <w:r>
              <w:rPr>
                <w:rFonts w:hint="eastAsia"/>
              </w:rPr>
              <w:t>监狱企业应当提供由省级以上监狱管理局、戒毒管理局（含新疆生产建设兵团）出具的属于监狱企业的证明文件，中小企业提供中小企业声明函，疾人福利性企业提供残疾人福利性企业声明函。</w:t>
            </w:r>
          </w:p>
          <w:p>
            <w:pPr>
              <w:pStyle w:val="17"/>
              <w:spacing w:before="0" w:beforeAutospacing="0" w:after="0" w:afterAutospacing="0"/>
              <w:rPr>
                <w:rFonts w:cs="Times New Roman"/>
                <w:b/>
                <w:bCs/>
                <w:kern w:val="2"/>
                <w:sz w:val="21"/>
                <w:szCs w:val="21"/>
              </w:rPr>
            </w:pPr>
            <w:r>
              <w:rPr>
                <w:rFonts w:hint="eastAsia" w:cs="Times New Roman"/>
                <w:b/>
                <w:bCs/>
                <w:kern w:val="2"/>
                <w:sz w:val="21"/>
                <w:szCs w:val="21"/>
              </w:rPr>
              <w:t>对于联合协议约定小微企业的合同份额占到合同总金额30%以上的，当对联合体或者大中型企业的报价给予3%的扣除。相关证明文件详见招标文件格式要求，投标人同时为小型、微型企业、监狱企业和残疾人福利性单位的，评审中只享受一次价格扣除，不重复进行价格扣除。</w:t>
            </w:r>
          </w:p>
          <w:p>
            <w:pPr>
              <w:pStyle w:val="2"/>
              <w:rPr>
                <w:lang w:val="zh-CN"/>
              </w:rPr>
            </w:pPr>
          </w:p>
        </w:tc>
        <w:tc>
          <w:tcPr>
            <w:tcW w:w="1134" w:type="dxa"/>
            <w:vAlign w:val="center"/>
          </w:tcPr>
          <w:p>
            <w:pPr>
              <w:autoSpaceDE w:val="0"/>
              <w:autoSpaceDN w:val="0"/>
              <w:adjustRightInd w:val="0"/>
              <w:jc w:val="center"/>
              <w:rPr>
                <w:rFonts w:ascii="宋体" w:hAnsi="宋体"/>
                <w:szCs w:val="21"/>
              </w:rPr>
            </w:pPr>
            <w:r>
              <w:rPr>
                <w:rFonts w:hint="eastAsia" w:ascii="宋体" w:hAnsi="宋体"/>
                <w:szCs w:val="21"/>
                <w:lang w:val="zh-CN"/>
              </w:rPr>
              <w:t>按公式计算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349" w:type="dxa"/>
            <w:gridSpan w:val="4"/>
            <w:vAlign w:val="center"/>
          </w:tcPr>
          <w:p>
            <w:pPr>
              <w:autoSpaceDE w:val="0"/>
              <w:autoSpaceDN w:val="0"/>
              <w:adjustRightInd w:val="0"/>
              <w:jc w:val="center"/>
              <w:rPr>
                <w:rFonts w:ascii="宋体" w:hAnsi="宋体"/>
                <w:szCs w:val="21"/>
              </w:rPr>
            </w:pPr>
            <w:r>
              <w:rPr>
                <w:rFonts w:hint="eastAsia" w:ascii="宋体" w:hAnsi="宋体"/>
                <w:b/>
                <w:szCs w:val="21"/>
                <w:lang w:val="zh-CN"/>
              </w:rPr>
              <w:t>二、商务部分</w:t>
            </w:r>
          </w:p>
        </w:tc>
        <w:tc>
          <w:tcPr>
            <w:tcW w:w="1134" w:type="dxa"/>
            <w:vAlign w:val="center"/>
          </w:tcPr>
          <w:p>
            <w:pPr>
              <w:autoSpaceDE w:val="0"/>
              <w:autoSpaceDN w:val="0"/>
              <w:adjustRightInd w:val="0"/>
              <w:jc w:val="center"/>
              <w:rPr>
                <w:rFonts w:ascii="宋体" w:hAnsi="宋体"/>
                <w:szCs w:val="21"/>
              </w:rPr>
            </w:pPr>
            <w:r>
              <w:rPr>
                <w:rFonts w:hint="eastAsia" w:ascii="宋体" w:hAnsi="宋体"/>
                <w:szCs w:val="21"/>
              </w:rPr>
              <w:t>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62" w:type="dxa"/>
            <w:vAlign w:val="center"/>
          </w:tcPr>
          <w:p>
            <w:pPr>
              <w:autoSpaceDE w:val="0"/>
              <w:autoSpaceDN w:val="0"/>
              <w:adjustRightInd w:val="0"/>
              <w:jc w:val="center"/>
              <w:rPr>
                <w:rFonts w:ascii="宋体" w:hAnsi="宋体"/>
                <w:szCs w:val="21"/>
              </w:rPr>
            </w:pPr>
            <w:r>
              <w:rPr>
                <w:rFonts w:hint="eastAsia" w:ascii="宋体" w:hAnsi="宋体"/>
                <w:szCs w:val="21"/>
                <w:lang w:val="zh-CN"/>
              </w:rPr>
              <w:t>序号</w:t>
            </w:r>
          </w:p>
        </w:tc>
        <w:tc>
          <w:tcPr>
            <w:tcW w:w="1267" w:type="dxa"/>
            <w:vAlign w:val="center"/>
          </w:tcPr>
          <w:p>
            <w:pPr>
              <w:autoSpaceDE w:val="0"/>
              <w:autoSpaceDN w:val="0"/>
              <w:adjustRightInd w:val="0"/>
              <w:jc w:val="center"/>
              <w:rPr>
                <w:rFonts w:ascii="宋体" w:hAnsi="宋体"/>
                <w:szCs w:val="21"/>
              </w:rPr>
            </w:pPr>
            <w:r>
              <w:rPr>
                <w:rFonts w:hint="eastAsia" w:ascii="宋体" w:hAnsi="宋体"/>
                <w:szCs w:val="21"/>
                <w:lang w:val="zh-CN"/>
              </w:rPr>
              <w:t>内容</w:t>
            </w:r>
          </w:p>
        </w:tc>
        <w:tc>
          <w:tcPr>
            <w:tcW w:w="850" w:type="dxa"/>
            <w:vAlign w:val="center"/>
          </w:tcPr>
          <w:p>
            <w:pPr>
              <w:autoSpaceDE w:val="0"/>
              <w:autoSpaceDN w:val="0"/>
              <w:adjustRightInd w:val="0"/>
              <w:jc w:val="center"/>
              <w:rPr>
                <w:rFonts w:ascii="宋体" w:hAnsi="宋体"/>
                <w:szCs w:val="21"/>
              </w:rPr>
            </w:pPr>
            <w:r>
              <w:rPr>
                <w:rFonts w:hint="eastAsia" w:ascii="宋体" w:hAnsi="宋体"/>
                <w:szCs w:val="21"/>
                <w:lang w:val="zh-CN"/>
              </w:rPr>
              <w:t>权重</w:t>
            </w:r>
          </w:p>
        </w:tc>
        <w:tc>
          <w:tcPr>
            <w:tcW w:w="5670" w:type="dxa"/>
            <w:vAlign w:val="center"/>
          </w:tcPr>
          <w:p>
            <w:pPr>
              <w:autoSpaceDE w:val="0"/>
              <w:autoSpaceDN w:val="0"/>
              <w:adjustRightInd w:val="0"/>
              <w:jc w:val="center"/>
              <w:rPr>
                <w:rFonts w:ascii="宋体" w:hAnsi="宋体"/>
                <w:szCs w:val="21"/>
                <w:lang w:val="zh-CN"/>
              </w:rPr>
            </w:pPr>
            <w:r>
              <w:rPr>
                <w:rFonts w:hint="eastAsia" w:ascii="宋体" w:hAnsi="宋体"/>
                <w:szCs w:val="21"/>
                <w:lang w:val="zh-CN"/>
              </w:rPr>
              <w:t>评分规则</w:t>
            </w:r>
          </w:p>
        </w:tc>
        <w:tc>
          <w:tcPr>
            <w:tcW w:w="1134" w:type="dxa"/>
            <w:vAlign w:val="center"/>
          </w:tcPr>
          <w:p>
            <w:pPr>
              <w:autoSpaceDE w:val="0"/>
              <w:autoSpaceDN w:val="0"/>
              <w:adjustRightInd w:val="0"/>
              <w:jc w:val="center"/>
              <w:rPr>
                <w:rFonts w:ascii="宋体" w:hAnsi="宋体"/>
                <w:szCs w:val="21"/>
                <w:lang w:val="zh-CN"/>
              </w:rPr>
            </w:pPr>
            <w:r>
              <w:rPr>
                <w:rFonts w:hint="eastAsia" w:ascii="宋体" w:hAnsi="宋体"/>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62" w:type="dxa"/>
            <w:vAlign w:val="center"/>
          </w:tcPr>
          <w:p>
            <w:pPr>
              <w:autoSpaceDE w:val="0"/>
              <w:autoSpaceDN w:val="0"/>
              <w:adjustRightInd w:val="0"/>
              <w:jc w:val="center"/>
              <w:rPr>
                <w:rFonts w:ascii="宋体" w:hAnsi="宋体"/>
                <w:szCs w:val="21"/>
                <w:lang w:val="zh-CN"/>
              </w:rPr>
            </w:pPr>
            <w:r>
              <w:rPr>
                <w:rFonts w:hint="eastAsia" w:ascii="宋体" w:hAnsi="宋体"/>
                <w:szCs w:val="21"/>
              </w:rPr>
              <w:t>1</w:t>
            </w:r>
          </w:p>
        </w:tc>
        <w:tc>
          <w:tcPr>
            <w:tcW w:w="1267" w:type="dxa"/>
            <w:vAlign w:val="center"/>
          </w:tcPr>
          <w:p>
            <w:pPr>
              <w:autoSpaceDE w:val="0"/>
              <w:autoSpaceDN w:val="0"/>
              <w:adjustRightInd w:val="0"/>
              <w:jc w:val="center"/>
              <w:rPr>
                <w:rFonts w:ascii="宋体" w:hAnsi="宋体"/>
                <w:szCs w:val="21"/>
                <w:lang w:val="zh-CN"/>
              </w:rPr>
            </w:pPr>
            <w:r>
              <w:rPr>
                <w:rFonts w:hint="eastAsia" w:ascii="宋体" w:hAnsi="宋体"/>
                <w:color w:val="000000"/>
                <w:szCs w:val="21"/>
                <w:lang w:val="zh-CN"/>
              </w:rPr>
              <w:t>拟安排项目技术团队情况（含项目负责人）</w:t>
            </w:r>
          </w:p>
        </w:tc>
        <w:tc>
          <w:tcPr>
            <w:tcW w:w="850" w:type="dxa"/>
            <w:vAlign w:val="center"/>
          </w:tcPr>
          <w:p>
            <w:pPr>
              <w:autoSpaceDE w:val="0"/>
              <w:autoSpaceDN w:val="0"/>
              <w:adjustRightInd w:val="0"/>
              <w:jc w:val="center"/>
              <w:rPr>
                <w:rFonts w:ascii="宋体" w:hAnsi="宋体"/>
              </w:rPr>
            </w:pPr>
            <w:r>
              <w:rPr>
                <w:rFonts w:hint="eastAsia" w:ascii="宋体" w:hAnsi="宋体"/>
                <w:szCs w:val="21"/>
              </w:rPr>
              <w:t>15</w:t>
            </w:r>
          </w:p>
        </w:tc>
        <w:tc>
          <w:tcPr>
            <w:tcW w:w="5670" w:type="dxa"/>
            <w:vAlign w:val="center"/>
          </w:tcPr>
          <w:p>
            <w:pPr>
              <w:autoSpaceDE w:val="0"/>
              <w:autoSpaceDN w:val="0"/>
              <w:adjustRightInd w:val="0"/>
              <w:jc w:val="left"/>
              <w:rPr>
                <w:rFonts w:ascii="宋体" w:hAnsi="宋体"/>
                <w:color w:val="000000"/>
                <w:kern w:val="0"/>
                <w:szCs w:val="21"/>
              </w:rPr>
            </w:pPr>
            <w:r>
              <w:rPr>
                <w:rFonts w:hint="eastAsia" w:ascii="宋体" w:hAnsi="宋体"/>
                <w:color w:val="000000"/>
                <w:kern w:val="0"/>
                <w:szCs w:val="21"/>
              </w:rPr>
              <w:t>1.项目负责人, 项目负责人需为投标人自有员工, 否则本项不得分。</w:t>
            </w:r>
          </w:p>
          <w:p>
            <w:pPr>
              <w:autoSpaceDE w:val="0"/>
              <w:autoSpaceDN w:val="0"/>
              <w:adjustRightInd w:val="0"/>
              <w:jc w:val="left"/>
              <w:rPr>
                <w:rFonts w:ascii="宋体" w:hAnsi="宋体"/>
                <w:color w:val="000000"/>
                <w:kern w:val="0"/>
                <w:szCs w:val="21"/>
                <w:lang w:val="zh-CN"/>
              </w:rPr>
            </w:pPr>
            <w:r>
              <w:rPr>
                <w:rFonts w:hint="eastAsia" w:ascii="宋体" w:hAnsi="宋体"/>
                <w:color w:val="000000"/>
                <w:kern w:val="0"/>
                <w:szCs w:val="21"/>
                <w:lang w:val="zh-CN"/>
              </w:rPr>
              <w:t>（1）评审标准-</w:t>
            </w:r>
            <w:r>
              <w:rPr>
                <w:rFonts w:hint="eastAsia" w:ascii="宋体" w:hAnsi="宋体"/>
                <w:color w:val="000000"/>
                <w:kern w:val="0"/>
                <w:szCs w:val="21"/>
              </w:rPr>
              <w:t>项目负责人学历、职称</w:t>
            </w:r>
            <w:r>
              <w:rPr>
                <w:rFonts w:hint="eastAsia" w:ascii="宋体" w:hAnsi="宋体"/>
              </w:rPr>
              <w:t>（5分）</w:t>
            </w:r>
          </w:p>
          <w:p>
            <w:pPr>
              <w:autoSpaceDE w:val="0"/>
              <w:autoSpaceDN w:val="0"/>
              <w:adjustRightInd w:val="0"/>
              <w:ind w:firstLine="420" w:firstLineChars="200"/>
              <w:jc w:val="left"/>
              <w:rPr>
                <w:rFonts w:ascii="宋体" w:hAnsi="宋体"/>
              </w:rPr>
            </w:pPr>
            <w:r>
              <w:rPr>
                <w:rFonts w:ascii="宋体" w:hAnsi="宋体"/>
              </w:rPr>
              <w:t>投标人</w:t>
            </w:r>
            <w:r>
              <w:rPr>
                <w:rFonts w:hint="eastAsia" w:ascii="宋体" w:hAnsi="宋体"/>
              </w:rPr>
              <w:t>拟安排的项目负责人，具有副高</w:t>
            </w:r>
            <w:r>
              <w:rPr>
                <w:rFonts w:ascii="宋体" w:hAnsi="宋体"/>
              </w:rPr>
              <w:t>及以上</w:t>
            </w:r>
            <w:r>
              <w:rPr>
                <w:rFonts w:hint="eastAsia" w:ascii="宋体" w:hAnsi="宋体"/>
              </w:rPr>
              <w:t>职称的得3分，具有土地资源管理博士学位加2分。</w:t>
            </w:r>
          </w:p>
          <w:p>
            <w:pPr>
              <w:autoSpaceDE w:val="0"/>
              <w:autoSpaceDN w:val="0"/>
              <w:adjustRightInd w:val="0"/>
              <w:jc w:val="left"/>
              <w:rPr>
                <w:rFonts w:ascii="宋体" w:hAnsi="宋体"/>
              </w:rPr>
            </w:pPr>
            <w:r>
              <w:rPr>
                <w:rFonts w:hint="eastAsia" w:ascii="宋体" w:hAnsi="宋体"/>
              </w:rPr>
              <w:t>（</w:t>
            </w:r>
            <w:r>
              <w:rPr>
                <w:rFonts w:ascii="宋体" w:hAnsi="宋体"/>
              </w:rPr>
              <w:t>2</w:t>
            </w:r>
            <w:r>
              <w:rPr>
                <w:rFonts w:hint="eastAsia" w:ascii="宋体" w:hAnsi="宋体"/>
              </w:rPr>
              <w:t>）负责项目业绩经验（4分）</w:t>
            </w:r>
          </w:p>
          <w:p>
            <w:pPr>
              <w:autoSpaceDE w:val="0"/>
              <w:autoSpaceDN w:val="0"/>
              <w:adjustRightInd w:val="0"/>
              <w:ind w:firstLine="420" w:firstLineChars="200"/>
              <w:jc w:val="left"/>
              <w:rPr>
                <w:rFonts w:ascii="宋体" w:hAnsi="宋体"/>
              </w:rPr>
            </w:pPr>
            <w:r>
              <w:rPr>
                <w:rFonts w:hint="eastAsia" w:ascii="宋体" w:hAnsi="宋体"/>
              </w:rPr>
              <w:t>2018年1月1日至本项目投标截止之日，</w:t>
            </w:r>
            <w:r>
              <w:rPr>
                <w:rFonts w:ascii="宋体" w:hAnsi="宋体"/>
              </w:rPr>
              <w:t>投标人</w:t>
            </w:r>
            <w:r>
              <w:rPr>
                <w:rFonts w:hint="eastAsia" w:ascii="宋体" w:hAnsi="宋体"/>
              </w:rPr>
              <w:t>拟安排的项目负责人，以项目负责人身份牵头主持城市运营管理、土地利用、住房政策、土地资源配置（利用）、住房（保障）政策、城中村治理、城市更新与产业发展方向课题项目经验的，</w:t>
            </w:r>
            <w:r>
              <w:rPr>
                <w:rFonts w:ascii="宋体" w:hAnsi="宋体"/>
              </w:rPr>
              <w:t>每</w:t>
            </w:r>
            <w:r>
              <w:rPr>
                <w:rFonts w:hint="eastAsia" w:ascii="宋体" w:hAnsi="宋体"/>
              </w:rPr>
              <w:t>方向提供</w:t>
            </w:r>
            <w:r>
              <w:rPr>
                <w:rFonts w:ascii="宋体" w:hAnsi="宋体"/>
              </w:rPr>
              <w:t>一项</w:t>
            </w:r>
            <w:r>
              <w:rPr>
                <w:rFonts w:hint="eastAsia" w:ascii="宋体" w:hAnsi="宋体"/>
              </w:rPr>
              <w:t>业绩</w:t>
            </w:r>
            <w:r>
              <w:rPr>
                <w:rFonts w:ascii="宋体" w:hAnsi="宋体"/>
              </w:rPr>
              <w:t>得</w:t>
            </w:r>
            <w:r>
              <w:rPr>
                <w:rFonts w:hint="eastAsia" w:ascii="宋体" w:hAnsi="宋体"/>
              </w:rPr>
              <w:t>0.5分，</w:t>
            </w:r>
            <w:r>
              <w:rPr>
                <w:rFonts w:ascii="宋体" w:hAnsi="宋体"/>
              </w:rPr>
              <w:t>总分最高不</w:t>
            </w:r>
            <w:r>
              <w:rPr>
                <w:rFonts w:hint="eastAsia" w:ascii="宋体" w:hAnsi="宋体"/>
              </w:rPr>
              <w:t>超过4分</w:t>
            </w:r>
            <w:r>
              <w:rPr>
                <w:rFonts w:ascii="宋体" w:hAnsi="宋体"/>
              </w:rPr>
              <w:t>。</w:t>
            </w:r>
          </w:p>
          <w:p>
            <w:pPr>
              <w:autoSpaceDE w:val="0"/>
              <w:autoSpaceDN w:val="0"/>
              <w:adjustRightInd w:val="0"/>
              <w:jc w:val="left"/>
              <w:rPr>
                <w:rFonts w:ascii="宋体" w:hAnsi="宋体"/>
              </w:rPr>
            </w:pPr>
            <w:r>
              <w:rPr>
                <w:rFonts w:hint="eastAsia" w:ascii="宋体" w:hAnsi="宋体"/>
              </w:rPr>
              <w:t>（3）证明文件：</w:t>
            </w:r>
          </w:p>
          <w:p>
            <w:pPr>
              <w:autoSpaceDE w:val="0"/>
              <w:autoSpaceDN w:val="0"/>
              <w:adjustRightInd w:val="0"/>
              <w:ind w:firstLine="420" w:firstLineChars="200"/>
              <w:jc w:val="left"/>
              <w:rPr>
                <w:rFonts w:ascii="宋体" w:hAnsi="宋体"/>
              </w:rPr>
            </w:pPr>
            <w:r>
              <w:rPr>
                <w:rFonts w:hint="eastAsia" w:ascii="宋体" w:hAnsi="宋体"/>
              </w:rPr>
              <w:t>包括职称资格证书、合同或相关证明文件关键页（签署方或委托方、课题内容、签章页）、履约评价表或其他履约证明文件等证明</w:t>
            </w:r>
            <w:r>
              <w:rPr>
                <w:rFonts w:ascii="宋体" w:hAnsi="宋体"/>
              </w:rPr>
              <w:t>材料</w:t>
            </w:r>
            <w:r>
              <w:rPr>
                <w:rFonts w:hint="eastAsia" w:ascii="宋体" w:hAnsi="宋体"/>
              </w:rPr>
              <w:t>，以及项目负责人于本项目招标公告之前三个月的社保清单</w:t>
            </w:r>
            <w:r>
              <w:rPr>
                <w:rFonts w:ascii="宋体" w:hAnsi="宋体"/>
              </w:rPr>
              <w:t>（20</w:t>
            </w:r>
            <w:r>
              <w:rPr>
                <w:rFonts w:hint="eastAsia" w:ascii="宋体" w:hAnsi="宋体"/>
              </w:rPr>
              <w:t>2</w:t>
            </w:r>
            <w:r>
              <w:rPr>
                <w:rFonts w:ascii="宋体" w:hAnsi="宋体"/>
              </w:rPr>
              <w:t>1年</w:t>
            </w:r>
            <w:r>
              <w:rPr>
                <w:rFonts w:hint="eastAsia" w:ascii="宋体" w:hAnsi="宋体"/>
              </w:rPr>
              <w:t>8</w:t>
            </w:r>
            <w:r>
              <w:rPr>
                <w:rFonts w:ascii="宋体" w:hAnsi="宋体"/>
              </w:rPr>
              <w:t>月至20</w:t>
            </w:r>
            <w:r>
              <w:rPr>
                <w:rFonts w:hint="eastAsia" w:ascii="宋体" w:hAnsi="宋体"/>
              </w:rPr>
              <w:t>21年10</w:t>
            </w:r>
            <w:r>
              <w:rPr>
                <w:rFonts w:ascii="宋体" w:hAnsi="宋体"/>
              </w:rPr>
              <w:t>月</w:t>
            </w:r>
            <w:r>
              <w:rPr>
                <w:rFonts w:hint="eastAsia" w:ascii="宋体" w:hAnsi="宋体"/>
              </w:rPr>
              <w:t>，因客观原因无法提供，可往前顺延一个月，</w:t>
            </w:r>
            <w:r>
              <w:rPr>
                <w:rFonts w:ascii="宋体" w:hAnsi="宋体"/>
              </w:rPr>
              <w:t>证明</w:t>
            </w:r>
            <w:r>
              <w:rPr>
                <w:rFonts w:hint="eastAsia" w:ascii="宋体" w:hAnsi="宋体"/>
              </w:rPr>
              <w:t>项目负责人为投标人</w:t>
            </w:r>
            <w:r>
              <w:rPr>
                <w:rFonts w:ascii="宋体" w:hAnsi="宋体"/>
              </w:rPr>
              <w:t>自有员工）</w:t>
            </w:r>
            <w:r>
              <w:rPr>
                <w:rFonts w:hint="eastAsia" w:ascii="宋体" w:hAnsi="宋体"/>
              </w:rPr>
              <w:t>。提供以上证明</w:t>
            </w:r>
            <w:r>
              <w:rPr>
                <w:rFonts w:ascii="宋体" w:hAnsi="宋体"/>
              </w:rPr>
              <w:t>材料</w:t>
            </w:r>
            <w:r>
              <w:rPr>
                <w:rFonts w:hint="eastAsia" w:ascii="宋体" w:hAnsi="宋体"/>
              </w:rPr>
              <w:t>复印件并加盖投标人公章（原件备查）。投标人提供虚假材料的，将做无效投标处理，涉嫌存在违法违规行为的，依法报主管部门处理处罚。</w:t>
            </w:r>
          </w:p>
          <w:p>
            <w:pPr>
              <w:autoSpaceDE w:val="0"/>
              <w:autoSpaceDN w:val="0"/>
              <w:adjustRightInd w:val="0"/>
              <w:jc w:val="left"/>
              <w:rPr>
                <w:rFonts w:ascii="宋体" w:hAnsi="宋体"/>
                <w:color w:val="000000"/>
                <w:kern w:val="0"/>
                <w:szCs w:val="21"/>
                <w:lang w:val="zh-CN"/>
              </w:rPr>
            </w:pPr>
            <w:r>
              <w:rPr>
                <w:rFonts w:hint="eastAsia" w:ascii="宋体" w:hAnsi="宋体"/>
                <w:color w:val="000000"/>
                <w:kern w:val="0"/>
                <w:szCs w:val="21"/>
              </w:rPr>
              <w:t>2.项目团队成员（项目负责人除外）需为投标人自有员工,且不少于7人，否则本项不得分。</w:t>
            </w:r>
          </w:p>
          <w:p>
            <w:pPr>
              <w:rPr>
                <w:rFonts w:ascii="宋体" w:hAnsi="宋体"/>
              </w:rPr>
            </w:pPr>
            <w:r>
              <w:rPr>
                <w:rFonts w:hint="eastAsia" w:ascii="宋体" w:hAnsi="宋体"/>
              </w:rPr>
              <w:t>（1）团队成员学历、职称（3分）</w:t>
            </w:r>
          </w:p>
          <w:p>
            <w:pPr>
              <w:ind w:firstLine="420" w:firstLineChars="200"/>
              <w:rPr>
                <w:rFonts w:ascii="宋体" w:hAnsi="宋体"/>
              </w:rPr>
            </w:pPr>
            <w:r>
              <w:rPr>
                <w:rFonts w:hint="eastAsia" w:ascii="宋体" w:hAnsi="宋体"/>
              </w:rPr>
              <w:t>团队成员具有博士研究生学位或高级（含）以上职称的，每名得0.5分，同时具有博士学位和高级职称不重复计算，本部分最高不超过3分。</w:t>
            </w:r>
          </w:p>
          <w:p>
            <w:pPr>
              <w:rPr>
                <w:rFonts w:ascii="宋体" w:hAnsi="宋体"/>
              </w:rPr>
            </w:pPr>
            <w:r>
              <w:rPr>
                <w:rFonts w:hint="eastAsia" w:ascii="宋体" w:hAnsi="宋体"/>
              </w:rPr>
              <w:t>（2）团队成员专业（3分）</w:t>
            </w:r>
          </w:p>
          <w:p>
            <w:pPr>
              <w:autoSpaceDE w:val="0"/>
              <w:autoSpaceDN w:val="0"/>
              <w:adjustRightInd w:val="0"/>
              <w:ind w:firstLine="420" w:firstLineChars="200"/>
              <w:jc w:val="left"/>
              <w:rPr>
                <w:rFonts w:ascii="宋体" w:hAnsi="宋体"/>
              </w:rPr>
            </w:pPr>
            <w:r>
              <w:rPr>
                <w:rFonts w:ascii="宋体" w:hAnsi="宋体"/>
              </w:rPr>
              <w:t>团队成员中</w:t>
            </w:r>
            <w:r>
              <w:rPr>
                <w:rFonts w:hint="eastAsia" w:ascii="宋体" w:hAnsi="宋体"/>
                <w:b/>
              </w:rPr>
              <w:t>土地资源管理、城市规划、经济学、及法学专业领域</w:t>
            </w:r>
            <w:r>
              <w:rPr>
                <w:rFonts w:ascii="宋体" w:hAnsi="宋体"/>
              </w:rPr>
              <w:t>研究人员各1名及以上的，每专业得</w:t>
            </w:r>
            <w:r>
              <w:rPr>
                <w:rFonts w:hint="eastAsia" w:ascii="宋体" w:hAnsi="宋体"/>
              </w:rPr>
              <w:t>0.5</w:t>
            </w:r>
            <w:r>
              <w:rPr>
                <w:rFonts w:ascii="宋体" w:hAnsi="宋体"/>
              </w:rPr>
              <w:t>分；</w:t>
            </w:r>
            <w:r>
              <w:rPr>
                <w:rFonts w:hint="eastAsia" w:ascii="宋体" w:hAnsi="宋体"/>
              </w:rPr>
              <w:t>以成员学历证书专业为准，每名人员仅计算一次得分，本部分总分最高不超过3分。</w:t>
            </w:r>
          </w:p>
          <w:p>
            <w:pPr>
              <w:autoSpaceDE w:val="0"/>
              <w:autoSpaceDN w:val="0"/>
              <w:adjustRightInd w:val="0"/>
              <w:jc w:val="left"/>
              <w:rPr>
                <w:rFonts w:ascii="宋体" w:hAnsi="宋体"/>
              </w:rPr>
            </w:pPr>
            <w:r>
              <w:rPr>
                <w:rFonts w:hint="eastAsia" w:ascii="宋体" w:hAnsi="宋体"/>
              </w:rPr>
              <w:t>（3）证明文件：</w:t>
            </w:r>
          </w:p>
          <w:p>
            <w:pPr>
              <w:autoSpaceDE w:val="0"/>
              <w:autoSpaceDN w:val="0"/>
              <w:adjustRightInd w:val="0"/>
              <w:jc w:val="left"/>
              <w:rPr>
                <w:rFonts w:ascii="宋体" w:hAnsi="宋体"/>
              </w:rPr>
            </w:pPr>
            <w:r>
              <w:rPr>
                <w:rFonts w:hint="eastAsia" w:ascii="宋体" w:hAnsi="宋体"/>
              </w:rPr>
              <w:t>须提供项目组成员于本项目招标公告之前三个月的社保清单</w:t>
            </w:r>
            <w:r>
              <w:rPr>
                <w:rFonts w:ascii="宋体" w:hAnsi="宋体"/>
              </w:rPr>
              <w:t>（20</w:t>
            </w:r>
            <w:r>
              <w:rPr>
                <w:rFonts w:hint="eastAsia" w:ascii="宋体" w:hAnsi="宋体"/>
              </w:rPr>
              <w:t>2</w:t>
            </w:r>
            <w:r>
              <w:rPr>
                <w:rFonts w:ascii="宋体" w:hAnsi="宋体"/>
              </w:rPr>
              <w:t>1年</w:t>
            </w:r>
            <w:r>
              <w:rPr>
                <w:rFonts w:hint="eastAsia" w:ascii="宋体" w:hAnsi="宋体"/>
              </w:rPr>
              <w:t>8</w:t>
            </w:r>
            <w:r>
              <w:rPr>
                <w:rFonts w:ascii="宋体" w:hAnsi="宋体"/>
              </w:rPr>
              <w:t>月至20</w:t>
            </w:r>
            <w:r>
              <w:rPr>
                <w:rFonts w:hint="eastAsia" w:ascii="宋体" w:hAnsi="宋体"/>
              </w:rPr>
              <w:t>21年10</w:t>
            </w:r>
            <w:r>
              <w:rPr>
                <w:rFonts w:ascii="宋体" w:hAnsi="宋体"/>
              </w:rPr>
              <w:t>月</w:t>
            </w:r>
            <w:r>
              <w:rPr>
                <w:rFonts w:hint="eastAsia" w:ascii="宋体" w:hAnsi="宋体"/>
              </w:rPr>
              <w:t>，因客观原因无法提供，可往前顺延一个月，</w:t>
            </w:r>
            <w:r>
              <w:rPr>
                <w:rFonts w:ascii="宋体" w:hAnsi="宋体"/>
              </w:rPr>
              <w:t>证明</w:t>
            </w:r>
            <w:r>
              <w:rPr>
                <w:rFonts w:hint="eastAsia" w:ascii="宋体" w:hAnsi="宋体"/>
              </w:rPr>
              <w:t>项目团队成员为投标人</w:t>
            </w:r>
            <w:r>
              <w:rPr>
                <w:rFonts w:ascii="宋体" w:hAnsi="宋体"/>
              </w:rPr>
              <w:t>自有员工）</w:t>
            </w:r>
            <w:r>
              <w:rPr>
                <w:rFonts w:hint="eastAsia" w:ascii="宋体" w:hAnsi="宋体"/>
              </w:rPr>
              <w:t>、职称资格证书、学历证书等证明</w:t>
            </w:r>
            <w:r>
              <w:rPr>
                <w:rFonts w:ascii="宋体" w:hAnsi="宋体"/>
              </w:rPr>
              <w:t>材料</w:t>
            </w:r>
            <w:r>
              <w:rPr>
                <w:rFonts w:hint="eastAsia" w:ascii="宋体" w:hAnsi="宋体"/>
              </w:rPr>
              <w:t>复印件并加盖投标人公章（原件备查）。投标人提供虚假材料的，将做无效投标处理，涉嫌存在违法违规行为的，依法报主管部门处理处罚。</w:t>
            </w:r>
          </w:p>
        </w:tc>
        <w:tc>
          <w:tcPr>
            <w:tcW w:w="1134" w:type="dxa"/>
            <w:vAlign w:val="center"/>
          </w:tcPr>
          <w:p>
            <w:pPr>
              <w:autoSpaceDE w:val="0"/>
              <w:autoSpaceDN w:val="0"/>
              <w:adjustRightInd w:val="0"/>
              <w:jc w:val="center"/>
              <w:rPr>
                <w:rFonts w:ascii="宋体" w:hAnsi="宋体"/>
                <w:szCs w:val="21"/>
                <w:lang w:val="zh-CN"/>
              </w:rPr>
            </w:pPr>
            <w:r>
              <w:rPr>
                <w:rFonts w:hint="eastAsia" w:ascii="宋体" w:hAnsi="宋体"/>
                <w:szCs w:val="21"/>
                <w:lang w:val="zh-CN"/>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62" w:type="dxa"/>
            <w:vAlign w:val="center"/>
          </w:tcPr>
          <w:p>
            <w:pPr>
              <w:autoSpaceDE w:val="0"/>
              <w:autoSpaceDN w:val="0"/>
              <w:adjustRightInd w:val="0"/>
              <w:jc w:val="center"/>
              <w:rPr>
                <w:rFonts w:ascii="宋体" w:hAnsi="宋体"/>
                <w:szCs w:val="21"/>
                <w:lang w:val="zh-CN"/>
              </w:rPr>
            </w:pPr>
            <w:r>
              <w:rPr>
                <w:rFonts w:hint="eastAsia" w:ascii="宋体" w:hAnsi="宋体"/>
                <w:szCs w:val="21"/>
                <w:lang w:val="zh-CN"/>
              </w:rPr>
              <w:t>2</w:t>
            </w:r>
          </w:p>
        </w:tc>
        <w:tc>
          <w:tcPr>
            <w:tcW w:w="1267" w:type="dxa"/>
            <w:vAlign w:val="center"/>
          </w:tcPr>
          <w:p>
            <w:pPr>
              <w:autoSpaceDE w:val="0"/>
              <w:autoSpaceDN w:val="0"/>
              <w:adjustRightInd w:val="0"/>
              <w:jc w:val="center"/>
              <w:rPr>
                <w:rFonts w:ascii="宋体" w:hAnsi="宋体"/>
                <w:szCs w:val="21"/>
                <w:lang w:val="zh-CN"/>
              </w:rPr>
            </w:pPr>
            <w:r>
              <w:rPr>
                <w:rFonts w:hint="eastAsia" w:ascii="宋体" w:hAnsi="宋体"/>
                <w:szCs w:val="21"/>
                <w:lang w:val="zh-CN"/>
              </w:rPr>
              <w:t>投</w:t>
            </w:r>
            <w:r>
              <w:rPr>
                <w:rFonts w:hint="eastAsia" w:ascii="宋体" w:hAnsi="宋体"/>
                <w:kern w:val="0"/>
                <w:szCs w:val="21"/>
                <w:lang w:val="zh-CN"/>
              </w:rPr>
              <w:t>标人同类</w:t>
            </w:r>
            <w:r>
              <w:rPr>
                <w:rFonts w:hint="eastAsia" w:ascii="宋体" w:hAnsi="宋体"/>
                <w:szCs w:val="21"/>
                <w:lang w:val="zh-CN"/>
              </w:rPr>
              <w:t>项目</w:t>
            </w:r>
            <w:r>
              <w:rPr>
                <w:rFonts w:hint="eastAsia" w:ascii="宋体" w:hAnsi="宋体"/>
                <w:color w:val="FF0000"/>
                <w:szCs w:val="21"/>
                <w:lang w:val="zh-CN"/>
              </w:rPr>
              <w:t>业绩</w:t>
            </w:r>
            <w:r>
              <w:rPr>
                <w:rFonts w:hint="eastAsia" w:ascii="宋体" w:hAnsi="宋体"/>
                <w:szCs w:val="21"/>
                <w:lang w:val="zh-CN"/>
              </w:rPr>
              <w:t>情况</w:t>
            </w:r>
          </w:p>
        </w:tc>
        <w:tc>
          <w:tcPr>
            <w:tcW w:w="850" w:type="dxa"/>
            <w:vAlign w:val="center"/>
          </w:tcPr>
          <w:p>
            <w:pPr>
              <w:autoSpaceDE w:val="0"/>
              <w:autoSpaceDN w:val="0"/>
              <w:adjustRightInd w:val="0"/>
              <w:jc w:val="center"/>
              <w:rPr>
                <w:rFonts w:ascii="宋体" w:hAnsi="宋体"/>
              </w:rPr>
            </w:pPr>
            <w:r>
              <w:rPr>
                <w:rFonts w:hint="eastAsia" w:ascii="宋体" w:hAnsi="宋体"/>
              </w:rPr>
              <w:t>25</w:t>
            </w:r>
          </w:p>
        </w:tc>
        <w:tc>
          <w:tcPr>
            <w:tcW w:w="5670" w:type="dxa"/>
            <w:vAlign w:val="center"/>
          </w:tcPr>
          <w:p>
            <w:pPr>
              <w:autoSpaceDE w:val="0"/>
              <w:autoSpaceDN w:val="0"/>
              <w:adjustRightInd w:val="0"/>
              <w:jc w:val="left"/>
              <w:rPr>
                <w:rFonts w:ascii="宋体" w:hAnsi="宋体"/>
              </w:rPr>
            </w:pPr>
            <w:r>
              <w:rPr>
                <w:rFonts w:hint="eastAsia" w:ascii="宋体" w:hAnsi="宋体"/>
              </w:rPr>
              <w:t>1.评审标准：</w:t>
            </w:r>
          </w:p>
          <w:p>
            <w:pPr>
              <w:autoSpaceDE w:val="0"/>
              <w:autoSpaceDN w:val="0"/>
              <w:adjustRightInd w:val="0"/>
              <w:jc w:val="left"/>
              <w:rPr>
                <w:rFonts w:ascii="宋体" w:hAnsi="宋体"/>
              </w:rPr>
            </w:pPr>
            <w:r>
              <w:rPr>
                <w:rFonts w:hint="eastAsia" w:ascii="宋体" w:hAnsi="宋体"/>
              </w:rPr>
              <w:t>2018年1月至今</w:t>
            </w:r>
            <w:r>
              <w:rPr>
                <w:rFonts w:ascii="宋体" w:hAnsi="宋体"/>
              </w:rPr>
              <w:t>投标人具有</w:t>
            </w:r>
            <w:r>
              <w:rPr>
                <w:rFonts w:hint="eastAsia" w:ascii="宋体" w:hAnsi="宋体"/>
              </w:rPr>
              <w:t>城市运营管理、土地利用、住房政策、土地资源配置（利用）、住房（保障）政策、城中村治理、城市更新与产业发展方向课题项目经验</w:t>
            </w:r>
            <w:r>
              <w:rPr>
                <w:rFonts w:ascii="宋体" w:hAnsi="宋体"/>
              </w:rPr>
              <w:t>的，每</w:t>
            </w:r>
            <w:r>
              <w:rPr>
                <w:rFonts w:hint="eastAsia" w:ascii="宋体" w:hAnsi="宋体"/>
              </w:rPr>
              <w:t>方向提供</w:t>
            </w:r>
            <w:r>
              <w:rPr>
                <w:rFonts w:ascii="宋体" w:hAnsi="宋体"/>
              </w:rPr>
              <w:t>一项</w:t>
            </w:r>
            <w:r>
              <w:rPr>
                <w:rFonts w:hint="eastAsia" w:ascii="宋体" w:hAnsi="宋体"/>
              </w:rPr>
              <w:t>业绩</w:t>
            </w:r>
            <w:r>
              <w:rPr>
                <w:rFonts w:ascii="宋体" w:hAnsi="宋体"/>
              </w:rPr>
              <w:t>得</w:t>
            </w:r>
            <w:r>
              <w:rPr>
                <w:rFonts w:hint="eastAsia" w:ascii="宋体" w:hAnsi="宋体"/>
              </w:rPr>
              <w:t>5</w:t>
            </w:r>
            <w:r>
              <w:rPr>
                <w:rFonts w:ascii="宋体" w:hAnsi="宋体"/>
              </w:rPr>
              <w:t>分，</w:t>
            </w:r>
            <w:r>
              <w:rPr>
                <w:rFonts w:hint="eastAsia" w:ascii="宋体" w:hAnsi="宋体"/>
              </w:rPr>
              <w:t>否则不得分。</w:t>
            </w:r>
            <w:r>
              <w:rPr>
                <w:rFonts w:hint="eastAsia" w:ascii="宋体" w:hAnsi="宋体"/>
                <w:b/>
                <w:bCs/>
              </w:rPr>
              <w:t>累计得分最高不超过15分。</w:t>
            </w:r>
          </w:p>
          <w:p>
            <w:pPr>
              <w:autoSpaceDE w:val="0"/>
              <w:autoSpaceDN w:val="0"/>
              <w:adjustRightInd w:val="0"/>
              <w:jc w:val="left"/>
              <w:rPr>
                <w:rFonts w:ascii="宋体" w:hAnsi="宋体"/>
              </w:rPr>
            </w:pPr>
            <w:r>
              <w:rPr>
                <w:rFonts w:hint="eastAsia" w:ascii="宋体" w:hAnsi="宋体"/>
              </w:rPr>
              <w:t>其中有港澳项目研究经验的，每业绩可加5分，</w:t>
            </w:r>
            <w:r>
              <w:rPr>
                <w:rFonts w:hint="eastAsia" w:ascii="宋体" w:hAnsi="宋体"/>
                <w:b/>
                <w:bCs/>
              </w:rPr>
              <w:t>累计加分最高不超过10分。</w:t>
            </w:r>
          </w:p>
          <w:p>
            <w:pPr>
              <w:autoSpaceDE w:val="0"/>
              <w:autoSpaceDN w:val="0"/>
              <w:adjustRightInd w:val="0"/>
              <w:jc w:val="left"/>
              <w:rPr>
                <w:rFonts w:ascii="宋体" w:hAnsi="宋体"/>
              </w:rPr>
            </w:pPr>
          </w:p>
          <w:p>
            <w:pPr>
              <w:pStyle w:val="12"/>
              <w:rPr>
                <w:rFonts w:ascii="宋体" w:hAnsi="宋体"/>
                <w:sz w:val="21"/>
                <w:szCs w:val="24"/>
              </w:rPr>
            </w:pPr>
            <w:r>
              <w:rPr>
                <w:rFonts w:hint="eastAsia" w:ascii="宋体" w:hAnsi="宋体"/>
                <w:sz w:val="21"/>
                <w:szCs w:val="24"/>
              </w:rPr>
              <w:t>2.证明文件：</w:t>
            </w:r>
          </w:p>
          <w:p>
            <w:pPr>
              <w:autoSpaceDE w:val="0"/>
              <w:autoSpaceDN w:val="0"/>
              <w:adjustRightInd w:val="0"/>
              <w:jc w:val="left"/>
              <w:rPr>
                <w:rFonts w:ascii="宋体" w:hAnsi="宋体"/>
              </w:rPr>
            </w:pPr>
            <w:r>
              <w:rPr>
                <w:rFonts w:hint="eastAsia" w:ascii="宋体" w:hAnsi="宋体"/>
              </w:rPr>
              <w:t>（1）须提供合同或立项相关证明文件关键页（签署方或委托方、课题内容、签章页）等证明</w:t>
            </w:r>
            <w:r>
              <w:rPr>
                <w:rFonts w:ascii="宋体" w:hAnsi="宋体"/>
              </w:rPr>
              <w:t>材料</w:t>
            </w:r>
            <w:r>
              <w:rPr>
                <w:rFonts w:hint="eastAsia" w:ascii="宋体" w:hAnsi="宋体"/>
              </w:rPr>
              <w:t>复印件并加盖投标人公章（原件备查）。同一方向多项业绩仅计算一项得分</w:t>
            </w:r>
            <w:r>
              <w:rPr>
                <w:rFonts w:ascii="宋体" w:hAnsi="宋体"/>
              </w:rPr>
              <w:t>。</w:t>
            </w:r>
          </w:p>
          <w:p>
            <w:pPr>
              <w:autoSpaceDE w:val="0"/>
              <w:autoSpaceDN w:val="0"/>
              <w:adjustRightInd w:val="0"/>
              <w:jc w:val="left"/>
              <w:rPr>
                <w:rFonts w:ascii="宋体" w:hAnsi="宋体"/>
              </w:rPr>
            </w:pPr>
            <w:r>
              <w:rPr>
                <w:rFonts w:hint="eastAsia" w:ascii="宋体" w:hAnsi="宋体"/>
              </w:rPr>
              <w:t>（2）须提供履约评价表或其他履约证明文件等复印件并加盖投标人公章（原件备查）。同一方向多项业绩仅计算一项得分</w:t>
            </w:r>
            <w:r>
              <w:rPr>
                <w:rFonts w:ascii="宋体" w:hAnsi="宋体"/>
              </w:rPr>
              <w:t>。</w:t>
            </w:r>
          </w:p>
        </w:tc>
        <w:tc>
          <w:tcPr>
            <w:tcW w:w="1134" w:type="dxa"/>
            <w:vAlign w:val="center"/>
          </w:tcPr>
          <w:p>
            <w:pPr>
              <w:autoSpaceDE w:val="0"/>
              <w:autoSpaceDN w:val="0"/>
              <w:adjustRightInd w:val="0"/>
              <w:jc w:val="center"/>
              <w:rPr>
                <w:rFonts w:ascii="宋体" w:hAnsi="宋体"/>
                <w:szCs w:val="21"/>
                <w:lang w:val="zh-CN"/>
              </w:rPr>
            </w:pPr>
            <w:r>
              <w:rPr>
                <w:rFonts w:hint="eastAsia" w:ascii="宋体" w:hAnsi="宋体"/>
                <w:szCs w:val="21"/>
                <w:lang w:val="zh-CN"/>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562" w:type="dxa"/>
            <w:vAlign w:val="center"/>
          </w:tcPr>
          <w:p>
            <w:pPr>
              <w:autoSpaceDE w:val="0"/>
              <w:autoSpaceDN w:val="0"/>
              <w:adjustRightInd w:val="0"/>
              <w:jc w:val="center"/>
              <w:rPr>
                <w:rFonts w:ascii="宋体" w:hAnsi="宋体"/>
                <w:kern w:val="0"/>
                <w:szCs w:val="21"/>
                <w:lang w:val="zh-CN"/>
              </w:rPr>
            </w:pPr>
            <w:r>
              <w:rPr>
                <w:rFonts w:hint="eastAsia" w:ascii="宋体" w:hAnsi="宋体"/>
                <w:kern w:val="0"/>
                <w:szCs w:val="21"/>
                <w:lang w:val="zh-CN"/>
              </w:rPr>
              <w:t>3</w:t>
            </w:r>
          </w:p>
        </w:tc>
        <w:tc>
          <w:tcPr>
            <w:tcW w:w="1267" w:type="dxa"/>
            <w:vAlign w:val="center"/>
          </w:tcPr>
          <w:p>
            <w:pPr>
              <w:autoSpaceDE w:val="0"/>
              <w:autoSpaceDN w:val="0"/>
              <w:adjustRightInd w:val="0"/>
              <w:spacing w:before="100" w:beforeAutospacing="1" w:after="100" w:afterAutospacing="1" w:line="288" w:lineRule="auto"/>
              <w:jc w:val="center"/>
              <w:rPr>
                <w:rFonts w:ascii="宋体" w:hAnsi="宋体"/>
                <w:kern w:val="0"/>
                <w:szCs w:val="21"/>
                <w:lang w:val="zh-CN"/>
              </w:rPr>
            </w:pPr>
            <w:r>
              <w:rPr>
                <w:rFonts w:hint="eastAsia" w:ascii="宋体" w:hAnsi="宋体"/>
                <w:kern w:val="0"/>
                <w:szCs w:val="21"/>
                <w:lang w:val="zh-CN"/>
              </w:rPr>
              <w:t>企业诚信</w:t>
            </w:r>
          </w:p>
        </w:tc>
        <w:tc>
          <w:tcPr>
            <w:tcW w:w="850" w:type="dxa"/>
            <w:vAlign w:val="center"/>
          </w:tcPr>
          <w:p>
            <w:pPr>
              <w:autoSpaceDE w:val="0"/>
              <w:autoSpaceDN w:val="0"/>
              <w:adjustRightInd w:val="0"/>
              <w:jc w:val="center"/>
              <w:rPr>
                <w:rFonts w:ascii="宋体" w:hAnsi="宋体" w:cs="宋体"/>
                <w:sz w:val="18"/>
                <w:szCs w:val="18"/>
              </w:rPr>
            </w:pPr>
            <w:r>
              <w:rPr>
                <w:rFonts w:hint="eastAsia" w:ascii="宋体" w:hAnsi="宋体" w:cs="宋体"/>
                <w:sz w:val="18"/>
                <w:szCs w:val="18"/>
              </w:rPr>
              <w:t>5</w:t>
            </w:r>
          </w:p>
        </w:tc>
        <w:tc>
          <w:tcPr>
            <w:tcW w:w="5670" w:type="dxa"/>
            <w:vAlign w:val="center"/>
          </w:tcPr>
          <w:p>
            <w:pPr>
              <w:autoSpaceDE w:val="0"/>
              <w:autoSpaceDN w:val="0"/>
              <w:adjustRightInd w:val="0"/>
              <w:ind w:firstLine="420" w:firstLineChars="200"/>
              <w:jc w:val="left"/>
              <w:rPr>
                <w:rFonts w:ascii="宋体" w:hAnsi="宋体"/>
                <w:kern w:val="0"/>
                <w:szCs w:val="21"/>
                <w:lang w:val="zh-CN"/>
              </w:rPr>
            </w:pPr>
            <w:r>
              <w:rPr>
                <w:rFonts w:hint="eastAsia" w:ascii="宋体" w:hAnsi="宋体"/>
                <w:kern w:val="0"/>
                <w:szCs w:val="21"/>
                <w:lang w:val="zh-CN"/>
              </w:rPr>
              <w:t>1.评审标准：</w:t>
            </w:r>
          </w:p>
          <w:p>
            <w:pPr>
              <w:autoSpaceDE w:val="0"/>
              <w:autoSpaceDN w:val="0"/>
              <w:adjustRightInd w:val="0"/>
              <w:ind w:firstLine="420" w:firstLineChars="200"/>
              <w:jc w:val="left"/>
              <w:rPr>
                <w:rFonts w:ascii="宋体" w:hAnsi="宋体"/>
                <w:kern w:val="0"/>
                <w:szCs w:val="21"/>
                <w:lang w:val="zh-CN"/>
              </w:rPr>
            </w:pPr>
            <w:r>
              <w:rPr>
                <w:rFonts w:hint="eastAsia" w:ascii="宋体" w:hAnsi="宋体"/>
                <w:kern w:val="0"/>
                <w:szCs w:val="21"/>
                <w:lang w:val="zh-CN"/>
              </w:rPr>
              <w:t>对投标人诚信管理情况进行评审，由投标人提供《诚信承诺函》的得</w:t>
            </w:r>
            <w:r>
              <w:rPr>
                <w:rFonts w:hint="eastAsia" w:ascii="宋体" w:hAnsi="宋体"/>
                <w:kern w:val="0"/>
                <w:szCs w:val="21"/>
              </w:rPr>
              <w:t>3</w:t>
            </w:r>
            <w:r>
              <w:rPr>
                <w:rFonts w:hint="eastAsia" w:ascii="宋体" w:hAnsi="宋体"/>
                <w:kern w:val="0"/>
                <w:szCs w:val="21"/>
                <w:lang w:val="zh-CN"/>
              </w:rPr>
              <w:t xml:space="preserve">分。（出现违法违规已被记入供应商诚信档案，且仍在记录有效期的供应商，其诚信分一律为0分，对于受过行政处罚供应商，行政处罚期及记录期满后，可参与政府采购活动，其诚信分不再扣减。） </w:t>
            </w:r>
          </w:p>
          <w:p>
            <w:pPr>
              <w:autoSpaceDE w:val="0"/>
              <w:autoSpaceDN w:val="0"/>
              <w:adjustRightInd w:val="0"/>
              <w:ind w:firstLine="420" w:firstLineChars="200"/>
              <w:jc w:val="left"/>
              <w:rPr>
                <w:rFonts w:ascii="宋体" w:hAnsi="宋体"/>
                <w:kern w:val="0"/>
                <w:szCs w:val="21"/>
                <w:lang w:val="zh-CN"/>
              </w:rPr>
            </w:pPr>
            <w:r>
              <w:rPr>
                <w:rFonts w:hint="eastAsia" w:ascii="宋体" w:hAnsi="宋体"/>
                <w:kern w:val="0"/>
                <w:szCs w:val="21"/>
                <w:lang w:val="zh-CN"/>
              </w:rPr>
              <w:t>2.证明文件：</w:t>
            </w:r>
          </w:p>
          <w:p>
            <w:pPr>
              <w:autoSpaceDE w:val="0"/>
              <w:autoSpaceDN w:val="0"/>
              <w:adjustRightInd w:val="0"/>
              <w:ind w:firstLine="420" w:firstLineChars="200"/>
              <w:jc w:val="left"/>
              <w:rPr>
                <w:rFonts w:ascii="宋体" w:hAnsi="宋体"/>
                <w:kern w:val="0"/>
                <w:szCs w:val="21"/>
                <w:lang w:val="zh-CN"/>
              </w:rPr>
            </w:pPr>
            <w:r>
              <w:rPr>
                <w:rFonts w:hint="eastAsia" w:ascii="宋体" w:hAnsi="宋体"/>
                <w:kern w:val="0"/>
                <w:szCs w:val="21"/>
                <w:lang w:val="zh-CN"/>
              </w:rPr>
              <w:t>须提供《诚信承诺函》加盖公章，如若投标人承诺与实际情况不相符，将按照虚假投标的情况报相关主管部门处理，承诺函应按招标文件格式填写加盖投标人公章。</w:t>
            </w:r>
          </w:p>
        </w:tc>
        <w:tc>
          <w:tcPr>
            <w:tcW w:w="1134" w:type="dxa"/>
            <w:vAlign w:val="center"/>
          </w:tcPr>
          <w:p>
            <w:pPr>
              <w:autoSpaceDE w:val="0"/>
              <w:autoSpaceDN w:val="0"/>
              <w:adjustRightInd w:val="0"/>
              <w:jc w:val="center"/>
              <w:rPr>
                <w:rFonts w:ascii="宋体" w:hAnsi="宋体"/>
                <w:szCs w:val="21"/>
                <w:lang w:val="zh-CN"/>
              </w:rPr>
            </w:pPr>
            <w:r>
              <w:rPr>
                <w:rFonts w:hint="eastAsia" w:ascii="宋体" w:hAnsi="宋体"/>
                <w:szCs w:val="21"/>
                <w:lang w:val="zh-CN"/>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349" w:type="dxa"/>
            <w:gridSpan w:val="4"/>
            <w:vAlign w:val="center"/>
          </w:tcPr>
          <w:p>
            <w:pPr>
              <w:autoSpaceDE w:val="0"/>
              <w:autoSpaceDN w:val="0"/>
              <w:adjustRightInd w:val="0"/>
              <w:jc w:val="center"/>
              <w:rPr>
                <w:rFonts w:ascii="宋体" w:hAnsi="宋体"/>
                <w:szCs w:val="21"/>
                <w:lang w:val="zh-CN"/>
              </w:rPr>
            </w:pPr>
            <w:r>
              <w:rPr>
                <w:rFonts w:hint="eastAsia" w:ascii="宋体" w:hAnsi="宋体"/>
                <w:kern w:val="0"/>
                <w:szCs w:val="21"/>
                <w:lang w:val="zh-CN"/>
              </w:rPr>
              <w:t>三、技术部分</w:t>
            </w:r>
          </w:p>
        </w:tc>
        <w:tc>
          <w:tcPr>
            <w:tcW w:w="1134" w:type="dxa"/>
            <w:vAlign w:val="center"/>
          </w:tcPr>
          <w:p>
            <w:pPr>
              <w:autoSpaceDE w:val="0"/>
              <w:autoSpaceDN w:val="0"/>
              <w:adjustRightInd w:val="0"/>
              <w:jc w:val="center"/>
              <w:rPr>
                <w:rFonts w:ascii="宋体" w:hAnsi="宋体"/>
                <w:szCs w:val="21"/>
              </w:rPr>
            </w:pPr>
            <w:r>
              <w:rPr>
                <w:rFonts w:hint="eastAsia" w:ascii="宋体" w:hAnsi="宋体"/>
                <w:szCs w:val="21"/>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562" w:type="dxa"/>
            <w:vAlign w:val="center"/>
          </w:tcPr>
          <w:p>
            <w:pPr>
              <w:autoSpaceDE w:val="0"/>
              <w:autoSpaceDN w:val="0"/>
              <w:adjustRightInd w:val="0"/>
              <w:jc w:val="center"/>
              <w:rPr>
                <w:rFonts w:ascii="宋体" w:hAnsi="宋体"/>
                <w:szCs w:val="21"/>
              </w:rPr>
            </w:pPr>
            <w:r>
              <w:rPr>
                <w:rFonts w:hint="eastAsia" w:ascii="宋体" w:hAnsi="宋体"/>
                <w:szCs w:val="21"/>
                <w:lang w:val="zh-CN"/>
              </w:rPr>
              <w:t>序号</w:t>
            </w:r>
          </w:p>
        </w:tc>
        <w:tc>
          <w:tcPr>
            <w:tcW w:w="1267" w:type="dxa"/>
            <w:vAlign w:val="center"/>
          </w:tcPr>
          <w:p>
            <w:pPr>
              <w:autoSpaceDE w:val="0"/>
              <w:autoSpaceDN w:val="0"/>
              <w:adjustRightInd w:val="0"/>
              <w:jc w:val="center"/>
              <w:rPr>
                <w:rFonts w:ascii="宋体" w:hAnsi="宋体"/>
                <w:szCs w:val="21"/>
              </w:rPr>
            </w:pPr>
            <w:r>
              <w:rPr>
                <w:rFonts w:hint="eastAsia" w:ascii="宋体" w:hAnsi="宋体"/>
                <w:szCs w:val="21"/>
                <w:lang w:val="zh-CN"/>
              </w:rPr>
              <w:t>内容</w:t>
            </w:r>
          </w:p>
        </w:tc>
        <w:tc>
          <w:tcPr>
            <w:tcW w:w="850" w:type="dxa"/>
            <w:vAlign w:val="center"/>
          </w:tcPr>
          <w:p>
            <w:pPr>
              <w:autoSpaceDE w:val="0"/>
              <w:autoSpaceDN w:val="0"/>
              <w:adjustRightInd w:val="0"/>
              <w:jc w:val="center"/>
              <w:rPr>
                <w:rFonts w:ascii="宋体" w:hAnsi="宋体"/>
                <w:szCs w:val="21"/>
              </w:rPr>
            </w:pPr>
            <w:r>
              <w:rPr>
                <w:rFonts w:hint="eastAsia" w:ascii="宋体" w:hAnsi="宋体"/>
                <w:szCs w:val="21"/>
                <w:lang w:val="zh-CN"/>
              </w:rPr>
              <w:t>权重</w:t>
            </w:r>
          </w:p>
        </w:tc>
        <w:tc>
          <w:tcPr>
            <w:tcW w:w="5670" w:type="dxa"/>
            <w:vAlign w:val="center"/>
          </w:tcPr>
          <w:p>
            <w:pPr>
              <w:autoSpaceDE w:val="0"/>
              <w:autoSpaceDN w:val="0"/>
              <w:adjustRightInd w:val="0"/>
              <w:jc w:val="center"/>
              <w:rPr>
                <w:rFonts w:ascii="宋体" w:hAnsi="宋体"/>
                <w:szCs w:val="21"/>
                <w:lang w:val="zh-CN"/>
              </w:rPr>
            </w:pPr>
            <w:r>
              <w:rPr>
                <w:rFonts w:hint="eastAsia" w:ascii="宋体" w:hAnsi="宋体"/>
                <w:szCs w:val="21"/>
                <w:lang w:val="zh-CN"/>
              </w:rPr>
              <w:t>评分规则</w:t>
            </w:r>
          </w:p>
        </w:tc>
        <w:tc>
          <w:tcPr>
            <w:tcW w:w="1134" w:type="dxa"/>
            <w:vAlign w:val="center"/>
          </w:tcPr>
          <w:p>
            <w:pPr>
              <w:autoSpaceDE w:val="0"/>
              <w:autoSpaceDN w:val="0"/>
              <w:adjustRightInd w:val="0"/>
              <w:jc w:val="center"/>
              <w:rPr>
                <w:rFonts w:ascii="宋体" w:hAnsi="宋体"/>
                <w:szCs w:val="21"/>
                <w:lang w:val="zh-CN"/>
              </w:rPr>
            </w:pPr>
            <w:r>
              <w:rPr>
                <w:rFonts w:hint="eastAsia" w:ascii="宋体" w:hAnsi="宋体"/>
                <w:szCs w:val="21"/>
                <w:lang w:val="zh-CN"/>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82" w:hRule="atLeast"/>
          <w:jc w:val="center"/>
        </w:trPr>
        <w:tc>
          <w:tcPr>
            <w:tcW w:w="562" w:type="dxa"/>
            <w:vAlign w:val="center"/>
          </w:tcPr>
          <w:p>
            <w:pPr>
              <w:autoSpaceDE w:val="0"/>
              <w:autoSpaceDN w:val="0"/>
              <w:adjustRightInd w:val="0"/>
              <w:jc w:val="center"/>
              <w:rPr>
                <w:rFonts w:ascii="宋体" w:hAnsi="宋体"/>
                <w:szCs w:val="21"/>
              </w:rPr>
            </w:pPr>
            <w:r>
              <w:rPr>
                <w:rFonts w:hint="eastAsia" w:ascii="宋体" w:hAnsi="宋体"/>
                <w:szCs w:val="21"/>
              </w:rPr>
              <w:t>1</w:t>
            </w:r>
          </w:p>
        </w:tc>
        <w:tc>
          <w:tcPr>
            <w:tcW w:w="1267" w:type="dxa"/>
            <w:vAlign w:val="center"/>
          </w:tcPr>
          <w:p>
            <w:pPr>
              <w:autoSpaceDE w:val="0"/>
              <w:autoSpaceDN w:val="0"/>
              <w:adjustRightInd w:val="0"/>
              <w:jc w:val="center"/>
              <w:rPr>
                <w:rFonts w:ascii="宋体" w:hAnsi="宋体"/>
                <w:szCs w:val="21"/>
                <w:lang w:val="zh-CN"/>
              </w:rPr>
            </w:pPr>
            <w:r>
              <w:rPr>
                <w:rFonts w:hint="eastAsia" w:ascii="宋体" w:hAnsi="宋体" w:cs="宋体"/>
                <w:szCs w:val="21"/>
                <w:lang w:bidi="ar"/>
              </w:rPr>
              <w:t>实施方案</w:t>
            </w:r>
          </w:p>
        </w:tc>
        <w:tc>
          <w:tcPr>
            <w:tcW w:w="850" w:type="dxa"/>
            <w:vAlign w:val="center"/>
          </w:tcPr>
          <w:p>
            <w:pPr>
              <w:autoSpaceDE w:val="0"/>
              <w:autoSpaceDN w:val="0"/>
              <w:adjustRightInd w:val="0"/>
              <w:jc w:val="center"/>
              <w:rPr>
                <w:rFonts w:ascii="宋体" w:hAnsi="宋体"/>
                <w:szCs w:val="21"/>
              </w:rPr>
            </w:pPr>
            <w:r>
              <w:rPr>
                <w:rFonts w:hint="eastAsia" w:ascii="宋体" w:hAnsi="宋体"/>
                <w:szCs w:val="21"/>
              </w:rPr>
              <w:t>15</w:t>
            </w:r>
          </w:p>
        </w:tc>
        <w:tc>
          <w:tcPr>
            <w:tcW w:w="5670" w:type="dxa"/>
            <w:vAlign w:val="center"/>
          </w:tcPr>
          <w:p>
            <w:pPr>
              <w:pStyle w:val="9"/>
            </w:pPr>
            <w:r>
              <w:rPr>
                <w:rFonts w:hint="eastAsia"/>
              </w:rPr>
              <w:t>评审内容：</w:t>
            </w:r>
          </w:p>
          <w:p>
            <w:pPr>
              <w:pStyle w:val="9"/>
            </w:pPr>
            <w:r>
              <w:rPr>
                <w:rFonts w:hint="eastAsia"/>
              </w:rPr>
              <w:t>根据招标文件的需求和投标文件响应情况，编制项目实施方案。包含但不限于以下内容：</w:t>
            </w:r>
          </w:p>
          <w:p>
            <w:pPr>
              <w:pStyle w:val="9"/>
            </w:pPr>
            <w:r>
              <w:rPr>
                <w:rFonts w:hint="eastAsia"/>
              </w:rPr>
              <w:t>1.对项目背景、工作目标的认识和政策解读是否到位；</w:t>
            </w:r>
          </w:p>
          <w:p>
            <w:pPr>
              <w:pStyle w:val="9"/>
            </w:pPr>
            <w:r>
              <w:rPr>
                <w:rFonts w:hint="eastAsia"/>
              </w:rPr>
              <w:t>2.工作内容是否完整、准确，方案思路是否清晰、深入；</w:t>
            </w:r>
          </w:p>
          <w:p>
            <w:pPr>
              <w:pStyle w:val="9"/>
            </w:pPr>
            <w:r>
              <w:rPr>
                <w:rFonts w:hint="eastAsia"/>
              </w:rPr>
              <w:t>3.采用的技术路线是否合理、可行；</w:t>
            </w:r>
          </w:p>
          <w:p>
            <w:pPr>
              <w:pStyle w:val="9"/>
            </w:pPr>
            <w:r>
              <w:rPr>
                <w:rFonts w:hint="eastAsia"/>
              </w:rPr>
              <w:t xml:space="preserve">评分标准： </w:t>
            </w:r>
          </w:p>
          <w:p>
            <w:pPr>
              <w:pStyle w:val="9"/>
            </w:pPr>
            <w:r>
              <w:rPr>
                <w:rFonts w:hint="eastAsia"/>
              </w:rPr>
              <w:t xml:space="preserve">1.满足三点得8分，满足任意两点得5分，满足任意一点得2分，未满足不得分。 </w:t>
            </w:r>
          </w:p>
          <w:p>
            <w:pPr>
              <w:pStyle w:val="9"/>
            </w:pPr>
            <w:r>
              <w:rPr>
                <w:rFonts w:hint="eastAsia"/>
              </w:rPr>
              <w:t xml:space="preserve">2.在此基础上，专家根据各供应商的具体响应内容按照量化的评审因素指标进一步评审； </w:t>
            </w:r>
          </w:p>
          <w:p>
            <w:pPr>
              <w:pStyle w:val="9"/>
            </w:pPr>
            <w:r>
              <w:rPr>
                <w:rFonts w:hint="eastAsia"/>
              </w:rPr>
              <w:t>优：实施方案思路清晰、内容完整、技术路线成熟；</w:t>
            </w:r>
          </w:p>
          <w:p>
            <w:pPr>
              <w:pStyle w:val="9"/>
            </w:pPr>
            <w:r>
              <w:rPr>
                <w:rFonts w:hint="eastAsia"/>
              </w:rPr>
              <w:t>良：实施方案思路比较清晰、技术路线可行；</w:t>
            </w:r>
          </w:p>
          <w:p>
            <w:pPr>
              <w:widowControl/>
              <w:jc w:val="left"/>
              <w:textAlignment w:val="top"/>
            </w:pPr>
            <w:r>
              <w:t>中：实施方案思路基本清晰、技术路线基本可行；</w:t>
            </w:r>
          </w:p>
          <w:p>
            <w:pPr>
              <w:widowControl/>
              <w:jc w:val="left"/>
              <w:textAlignment w:val="top"/>
            </w:pPr>
            <w:r>
              <w:rPr>
                <w:rFonts w:ascii="Times New Roman" w:hAnsi="Times New Roman"/>
                <w:lang w:bidi="ar"/>
              </w:rPr>
              <w:t>差：</w:t>
            </w:r>
            <w:r>
              <w:t>实施方案思路不清晰、技术路线不可行或提供实施方案</w:t>
            </w:r>
            <w:r>
              <w:rPr>
                <w:rFonts w:hint="eastAsia"/>
              </w:rPr>
              <w:t>；</w:t>
            </w:r>
          </w:p>
          <w:p>
            <w:pPr>
              <w:pStyle w:val="12"/>
              <w:rPr>
                <w:rFonts w:ascii="宋体" w:hAnsi="宋体" w:cs="宋体"/>
                <w:sz w:val="21"/>
                <w:szCs w:val="21"/>
                <w:lang w:bidi="ar"/>
              </w:rPr>
            </w:pPr>
            <w:r>
              <w:rPr>
                <w:rFonts w:ascii="宋体" w:hAnsi="宋体" w:cs="宋体"/>
                <w:sz w:val="21"/>
                <w:szCs w:val="21"/>
                <w:lang w:bidi="ar"/>
              </w:rPr>
              <w:t>评审为优的加</w:t>
            </w:r>
            <w:r>
              <w:rPr>
                <w:rFonts w:hint="eastAsia" w:ascii="宋体" w:hAnsi="宋体" w:cs="宋体"/>
                <w:sz w:val="21"/>
                <w:szCs w:val="21"/>
                <w:lang w:bidi="ar"/>
              </w:rPr>
              <w:t>7</w:t>
            </w:r>
            <w:r>
              <w:rPr>
                <w:rFonts w:ascii="宋体" w:hAnsi="宋体" w:cs="宋体"/>
                <w:sz w:val="21"/>
                <w:szCs w:val="21"/>
                <w:lang w:bidi="ar"/>
              </w:rPr>
              <w:t>分；</w:t>
            </w:r>
          </w:p>
          <w:p>
            <w:pPr>
              <w:pStyle w:val="12"/>
              <w:rPr>
                <w:rFonts w:ascii="宋体" w:hAnsi="宋体" w:cs="宋体"/>
                <w:sz w:val="21"/>
                <w:szCs w:val="21"/>
                <w:lang w:bidi="ar"/>
              </w:rPr>
            </w:pPr>
            <w:r>
              <w:rPr>
                <w:rFonts w:ascii="宋体" w:hAnsi="宋体" w:cs="宋体"/>
                <w:sz w:val="21"/>
                <w:szCs w:val="21"/>
                <w:lang w:bidi="ar"/>
              </w:rPr>
              <w:t>评审为良的加</w:t>
            </w:r>
            <w:r>
              <w:rPr>
                <w:rFonts w:hint="eastAsia" w:ascii="宋体" w:hAnsi="宋体" w:cs="宋体"/>
                <w:sz w:val="21"/>
                <w:szCs w:val="21"/>
                <w:lang w:bidi="ar"/>
              </w:rPr>
              <w:t>4</w:t>
            </w:r>
            <w:r>
              <w:rPr>
                <w:rFonts w:ascii="宋体" w:hAnsi="宋体" w:cs="宋体"/>
                <w:sz w:val="21"/>
                <w:szCs w:val="21"/>
                <w:lang w:bidi="ar"/>
              </w:rPr>
              <w:t>分；</w:t>
            </w:r>
          </w:p>
          <w:p>
            <w:pPr>
              <w:pStyle w:val="12"/>
              <w:rPr>
                <w:rFonts w:ascii="宋体" w:hAnsi="宋体" w:cs="宋体"/>
                <w:sz w:val="21"/>
                <w:szCs w:val="21"/>
                <w:lang w:bidi="ar"/>
              </w:rPr>
            </w:pPr>
            <w:r>
              <w:rPr>
                <w:rFonts w:ascii="宋体" w:hAnsi="宋体" w:cs="宋体"/>
                <w:sz w:val="21"/>
                <w:szCs w:val="21"/>
                <w:lang w:bidi="ar"/>
              </w:rPr>
              <w:t>评审为中的加1分；</w:t>
            </w:r>
          </w:p>
          <w:p>
            <w:pPr>
              <w:pStyle w:val="12"/>
              <w:rPr>
                <w:rFonts w:ascii="宋体" w:hAnsi="宋体" w:cs="宋体"/>
                <w:sz w:val="21"/>
                <w:szCs w:val="21"/>
                <w:lang w:bidi="ar"/>
              </w:rPr>
            </w:pPr>
            <w:r>
              <w:rPr>
                <w:rFonts w:ascii="宋体" w:hAnsi="宋体" w:cs="宋体"/>
                <w:sz w:val="21"/>
                <w:szCs w:val="21"/>
                <w:lang w:bidi="ar"/>
              </w:rPr>
              <w:t>评审为差的加0分；</w:t>
            </w:r>
          </w:p>
          <w:p>
            <w:pPr>
              <w:pStyle w:val="12"/>
            </w:pPr>
            <w:r>
              <w:rPr>
                <w:rFonts w:hint="eastAsia" w:ascii="宋体" w:hAnsi="宋体" w:cs="宋体"/>
                <w:sz w:val="21"/>
                <w:szCs w:val="21"/>
                <w:lang w:bidi="ar"/>
              </w:rPr>
              <w:t>如果评审为差，要求专家书面说明理由，并记录在档</w:t>
            </w:r>
          </w:p>
        </w:tc>
        <w:tc>
          <w:tcPr>
            <w:tcW w:w="1134" w:type="dxa"/>
            <w:vAlign w:val="center"/>
          </w:tcPr>
          <w:p>
            <w:pPr>
              <w:autoSpaceDE w:val="0"/>
              <w:autoSpaceDN w:val="0"/>
              <w:adjustRightInd w:val="0"/>
              <w:jc w:val="center"/>
              <w:rPr>
                <w:rFonts w:ascii="宋体" w:hAnsi="宋体"/>
                <w:szCs w:val="21"/>
                <w:lang w:val="zh-CN"/>
              </w:rPr>
            </w:pPr>
            <w:r>
              <w:rPr>
                <w:rFonts w:hint="eastAsia" w:ascii="宋体" w:hAnsi="宋体"/>
                <w:szCs w:val="21"/>
                <w:lang w:val="zh-CN"/>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562" w:type="dxa"/>
            <w:vAlign w:val="center"/>
          </w:tcPr>
          <w:p>
            <w:pPr>
              <w:autoSpaceDE w:val="0"/>
              <w:autoSpaceDN w:val="0"/>
              <w:adjustRightInd w:val="0"/>
              <w:jc w:val="center"/>
              <w:rPr>
                <w:rFonts w:ascii="宋体" w:hAnsi="宋体"/>
                <w:kern w:val="0"/>
                <w:szCs w:val="21"/>
                <w:lang w:val="zh-CN"/>
              </w:rPr>
            </w:pPr>
            <w:r>
              <w:rPr>
                <w:rFonts w:hint="eastAsia" w:ascii="宋体" w:hAnsi="宋体"/>
                <w:kern w:val="0"/>
                <w:szCs w:val="21"/>
              </w:rPr>
              <w:t>2</w:t>
            </w:r>
          </w:p>
        </w:tc>
        <w:tc>
          <w:tcPr>
            <w:tcW w:w="1267" w:type="dxa"/>
            <w:vAlign w:val="center"/>
          </w:tcPr>
          <w:p>
            <w:pPr>
              <w:jc w:val="left"/>
              <w:rPr>
                <w:rFonts w:ascii="宋体" w:hAnsi="宋体"/>
                <w:kern w:val="0"/>
                <w:lang w:val="zh-CN"/>
              </w:rPr>
            </w:pPr>
            <w:r>
              <w:rPr>
                <w:lang w:bidi="ar"/>
              </w:rPr>
              <w:t>项目重点难点分析、应对措施及相关的合理化建议</w:t>
            </w:r>
          </w:p>
        </w:tc>
        <w:tc>
          <w:tcPr>
            <w:tcW w:w="850" w:type="dxa"/>
            <w:vAlign w:val="center"/>
          </w:tcPr>
          <w:p>
            <w:pPr>
              <w:autoSpaceDE w:val="0"/>
              <w:autoSpaceDN w:val="0"/>
              <w:adjustRightInd w:val="0"/>
              <w:jc w:val="center"/>
              <w:rPr>
                <w:rFonts w:ascii="宋体" w:hAnsi="宋体"/>
                <w:kern w:val="0"/>
                <w:szCs w:val="21"/>
              </w:rPr>
            </w:pPr>
            <w:r>
              <w:rPr>
                <w:rFonts w:hint="eastAsia" w:ascii="宋体" w:hAnsi="宋体"/>
                <w:kern w:val="0"/>
                <w:szCs w:val="21"/>
              </w:rPr>
              <w:t>15</w:t>
            </w:r>
          </w:p>
        </w:tc>
        <w:tc>
          <w:tcPr>
            <w:tcW w:w="5670" w:type="dxa"/>
            <w:vAlign w:val="center"/>
          </w:tcPr>
          <w:p>
            <w:pPr>
              <w:widowControl/>
              <w:jc w:val="left"/>
              <w:rPr>
                <w:lang w:val="zh-CN"/>
              </w:rPr>
            </w:pPr>
            <w:r>
              <w:rPr>
                <w:rFonts w:hint="eastAsia"/>
                <w:lang w:val="zh-CN"/>
              </w:rPr>
              <w:t xml:space="preserve">评审内容： </w:t>
            </w:r>
          </w:p>
          <w:p>
            <w:pPr>
              <w:widowControl/>
              <w:jc w:val="left"/>
              <w:rPr>
                <w:lang w:val="zh-CN"/>
              </w:rPr>
            </w:pPr>
            <w:r>
              <w:rPr>
                <w:rFonts w:hint="eastAsia"/>
                <w:lang w:val="zh-CN"/>
              </w:rPr>
              <w:t>根据招标文件的需求和投标文件响应情况，编制项目实施方案。包含但不限于以下内容：</w:t>
            </w:r>
          </w:p>
          <w:p>
            <w:pPr>
              <w:widowControl/>
              <w:jc w:val="left"/>
              <w:rPr>
                <w:lang w:val="zh-CN"/>
              </w:rPr>
            </w:pPr>
            <w:r>
              <w:rPr>
                <w:rFonts w:hint="eastAsia"/>
                <w:lang w:val="zh-CN"/>
              </w:rPr>
              <w:t>（1）对重点难点问题的把握与分析是否准确到位；</w:t>
            </w:r>
          </w:p>
          <w:p>
            <w:pPr>
              <w:widowControl/>
              <w:jc w:val="left"/>
              <w:rPr>
                <w:lang w:val="zh-CN"/>
              </w:rPr>
            </w:pPr>
            <w:r>
              <w:rPr>
                <w:rFonts w:hint="eastAsia"/>
                <w:lang w:val="zh-CN"/>
              </w:rPr>
              <w:t>（2）对重点难点问题的应对措施和合理化建议是否合理、可行；</w:t>
            </w:r>
          </w:p>
          <w:p>
            <w:pPr>
              <w:pStyle w:val="9"/>
              <w:widowControl/>
              <w:textAlignment w:val="top"/>
            </w:pPr>
            <w:r>
              <w:rPr>
                <w:rFonts w:hint="eastAsia"/>
              </w:rPr>
              <w:t xml:space="preserve">评分标准： </w:t>
            </w:r>
          </w:p>
          <w:p>
            <w:pPr>
              <w:pStyle w:val="9"/>
              <w:widowControl/>
              <w:textAlignment w:val="top"/>
            </w:pPr>
            <w:r>
              <w:rPr>
                <w:rFonts w:hint="eastAsia"/>
              </w:rPr>
              <w:t xml:space="preserve">1.满足任意两点得8分，满足任意一点得4分，未满足不得分。 </w:t>
            </w:r>
          </w:p>
          <w:p>
            <w:pPr>
              <w:widowControl/>
              <w:jc w:val="left"/>
              <w:rPr>
                <w:rFonts w:ascii="Times New Roman" w:hAnsi="Times New Roman"/>
              </w:rPr>
            </w:pPr>
            <w:r>
              <w:rPr>
                <w:rFonts w:hint="eastAsia" w:ascii="Times New Roman" w:hAnsi="Times New Roman"/>
              </w:rPr>
              <w:t>2.在此基础上，专家根据各供应商的具体响应内容按照量化的评审因素指标进一步评审；</w:t>
            </w:r>
          </w:p>
          <w:p>
            <w:pPr>
              <w:widowControl/>
              <w:jc w:val="left"/>
              <w:rPr>
                <w:lang w:val="zh-CN"/>
              </w:rPr>
            </w:pPr>
            <w:r>
              <w:rPr>
                <w:rFonts w:hint="eastAsia"/>
                <w:lang w:val="zh-CN"/>
              </w:rPr>
              <w:t xml:space="preserve">（1）优评分标准：对项目重点难点分析、应对措施及相关的合理化建议准确有效； </w:t>
            </w:r>
          </w:p>
          <w:p>
            <w:pPr>
              <w:widowControl/>
              <w:jc w:val="left"/>
              <w:rPr>
                <w:lang w:val="zh-CN"/>
              </w:rPr>
            </w:pPr>
            <w:r>
              <w:rPr>
                <w:rFonts w:hint="eastAsia"/>
                <w:lang w:val="zh-CN"/>
              </w:rPr>
              <w:t xml:space="preserve">（2）良评分标准：对项目重点难点分析、应对措施及相关的合理化建议比较准确有效； </w:t>
            </w:r>
          </w:p>
          <w:p>
            <w:pPr>
              <w:widowControl/>
              <w:jc w:val="left"/>
              <w:rPr>
                <w:lang w:val="zh-CN"/>
              </w:rPr>
            </w:pPr>
            <w:r>
              <w:rPr>
                <w:rFonts w:hint="eastAsia"/>
                <w:lang w:val="zh-CN"/>
              </w:rPr>
              <w:t xml:space="preserve">（3）中评分标准：对项目重点难点分析、应对措施及相关的合理化建议基本准确有效； </w:t>
            </w:r>
          </w:p>
          <w:p>
            <w:pPr>
              <w:widowControl/>
              <w:jc w:val="left"/>
              <w:rPr>
                <w:lang w:val="zh-CN"/>
              </w:rPr>
            </w:pPr>
            <w:r>
              <w:rPr>
                <w:rFonts w:hint="eastAsia"/>
                <w:lang w:val="zh-CN"/>
              </w:rPr>
              <w:t>（4）差评分标准: 对项目重点难点分析、应对措施及相关的合理化建议不够准确有效，不得分。</w:t>
            </w:r>
          </w:p>
          <w:p>
            <w:pPr>
              <w:widowControl/>
              <w:jc w:val="left"/>
              <w:rPr>
                <w:lang w:val="zh-CN" w:bidi="ar"/>
              </w:rPr>
            </w:pPr>
            <w:r>
              <w:rPr>
                <w:rFonts w:hint="eastAsia"/>
                <w:lang w:val="zh-CN" w:bidi="ar"/>
              </w:rPr>
              <w:t>评审为优的加7分；</w:t>
            </w:r>
          </w:p>
          <w:p>
            <w:pPr>
              <w:widowControl/>
              <w:jc w:val="left"/>
              <w:rPr>
                <w:lang w:val="zh-CN" w:bidi="ar"/>
              </w:rPr>
            </w:pPr>
            <w:r>
              <w:rPr>
                <w:rFonts w:hint="eastAsia"/>
                <w:lang w:val="zh-CN" w:bidi="ar"/>
              </w:rPr>
              <w:t>评审为良的加4分；</w:t>
            </w:r>
          </w:p>
          <w:p>
            <w:pPr>
              <w:widowControl/>
              <w:jc w:val="left"/>
              <w:rPr>
                <w:lang w:val="zh-CN" w:bidi="ar"/>
              </w:rPr>
            </w:pPr>
            <w:r>
              <w:rPr>
                <w:rFonts w:hint="eastAsia"/>
                <w:lang w:val="zh-CN" w:bidi="ar"/>
              </w:rPr>
              <w:t>评审为中的加1分；</w:t>
            </w:r>
          </w:p>
          <w:p>
            <w:pPr>
              <w:widowControl/>
              <w:jc w:val="left"/>
              <w:rPr>
                <w:lang w:val="zh-CN" w:bidi="ar"/>
              </w:rPr>
            </w:pPr>
            <w:r>
              <w:rPr>
                <w:rFonts w:hint="eastAsia"/>
                <w:lang w:val="zh-CN" w:bidi="ar"/>
              </w:rPr>
              <w:t>评审为差的加0分；</w:t>
            </w:r>
          </w:p>
          <w:p>
            <w:pPr>
              <w:widowControl/>
              <w:jc w:val="left"/>
              <w:rPr>
                <w:lang w:val="zh-CN"/>
              </w:rPr>
            </w:pPr>
            <w:r>
              <w:rPr>
                <w:rFonts w:hint="eastAsia"/>
                <w:lang w:val="zh-CN" w:bidi="ar"/>
              </w:rPr>
              <w:t>如果评审为差，要求专家书面说明理由，并记录在档</w:t>
            </w:r>
          </w:p>
        </w:tc>
        <w:tc>
          <w:tcPr>
            <w:tcW w:w="1134" w:type="dxa"/>
            <w:vAlign w:val="center"/>
          </w:tcPr>
          <w:p>
            <w:pPr>
              <w:autoSpaceDE w:val="0"/>
              <w:autoSpaceDN w:val="0"/>
              <w:adjustRightInd w:val="0"/>
              <w:jc w:val="left"/>
              <w:rPr>
                <w:rFonts w:ascii="宋体" w:hAnsi="宋体"/>
                <w:kern w:val="0"/>
                <w:szCs w:val="21"/>
                <w:lang w:val="zh-CN"/>
              </w:rPr>
            </w:pPr>
            <w:r>
              <w:rPr>
                <w:rFonts w:hint="eastAsia" w:ascii="宋体" w:hAnsi="宋体"/>
                <w:szCs w:val="21"/>
                <w:lang w:val="zh-CN"/>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562" w:type="dxa"/>
            <w:vAlign w:val="center"/>
          </w:tcPr>
          <w:p>
            <w:pPr>
              <w:autoSpaceDE w:val="0"/>
              <w:autoSpaceDN w:val="0"/>
              <w:adjustRightInd w:val="0"/>
              <w:jc w:val="left"/>
              <w:rPr>
                <w:rFonts w:ascii="宋体" w:hAnsi="宋体"/>
                <w:kern w:val="0"/>
                <w:szCs w:val="21"/>
                <w:lang w:val="zh-CN"/>
              </w:rPr>
            </w:pPr>
            <w:r>
              <w:rPr>
                <w:rFonts w:hint="eastAsia" w:ascii="宋体" w:hAnsi="宋体"/>
                <w:kern w:val="0"/>
                <w:szCs w:val="21"/>
                <w:lang w:val="zh-CN"/>
              </w:rPr>
              <w:t>3</w:t>
            </w:r>
          </w:p>
        </w:tc>
        <w:tc>
          <w:tcPr>
            <w:tcW w:w="1267" w:type="dxa"/>
            <w:vAlign w:val="center"/>
          </w:tcPr>
          <w:p>
            <w:pPr>
              <w:autoSpaceDE w:val="0"/>
              <w:autoSpaceDN w:val="0"/>
              <w:adjustRightInd w:val="0"/>
              <w:jc w:val="left"/>
              <w:rPr>
                <w:rFonts w:ascii="宋体" w:hAnsi="宋体"/>
                <w:kern w:val="0"/>
                <w:lang w:val="zh-CN"/>
              </w:rPr>
            </w:pPr>
            <w:r>
              <w:rPr>
                <w:rFonts w:ascii="宋体" w:hAnsi="宋体"/>
              </w:rPr>
              <w:t>质量保障措施及方案</w:t>
            </w:r>
          </w:p>
        </w:tc>
        <w:tc>
          <w:tcPr>
            <w:tcW w:w="850" w:type="dxa"/>
            <w:vAlign w:val="center"/>
          </w:tcPr>
          <w:p>
            <w:pPr>
              <w:autoSpaceDE w:val="0"/>
              <w:autoSpaceDN w:val="0"/>
              <w:adjustRightInd w:val="0"/>
              <w:jc w:val="center"/>
              <w:rPr>
                <w:rFonts w:ascii="宋体" w:hAnsi="宋体"/>
                <w:kern w:val="0"/>
                <w:szCs w:val="21"/>
                <w:lang w:val="zh-CN"/>
              </w:rPr>
            </w:pPr>
            <w:r>
              <w:rPr>
                <w:rFonts w:hint="eastAsia" w:ascii="宋体" w:hAnsi="宋体"/>
                <w:kern w:val="0"/>
                <w:szCs w:val="21"/>
              </w:rPr>
              <w:t>10</w:t>
            </w:r>
          </w:p>
        </w:tc>
        <w:tc>
          <w:tcPr>
            <w:tcW w:w="5670" w:type="dxa"/>
            <w:vAlign w:val="center"/>
          </w:tcPr>
          <w:p>
            <w:pPr>
              <w:pStyle w:val="9"/>
              <w:rPr>
                <w:sz w:val="21"/>
                <w:szCs w:val="21"/>
              </w:rPr>
            </w:pPr>
            <w:r>
              <w:rPr>
                <w:rFonts w:hint="eastAsia"/>
                <w:sz w:val="21"/>
                <w:szCs w:val="21"/>
              </w:rPr>
              <w:t>1.评审内容：</w:t>
            </w:r>
          </w:p>
          <w:p>
            <w:pPr>
              <w:pStyle w:val="9"/>
              <w:rPr>
                <w:rFonts w:ascii="宋体" w:hAnsi="宋体"/>
                <w:color w:val="000000"/>
                <w:sz w:val="21"/>
                <w:szCs w:val="21"/>
              </w:rPr>
            </w:pPr>
            <w:r>
              <w:rPr>
                <w:rFonts w:hint="eastAsia" w:ascii="宋体" w:hAnsi="宋体"/>
                <w:color w:val="000000"/>
                <w:sz w:val="21"/>
                <w:szCs w:val="21"/>
              </w:rPr>
              <w:t>根据招标文件的需求和投标文件响应情况，编制项目实施方案。包含但不限于以下内容：</w:t>
            </w:r>
          </w:p>
          <w:p>
            <w:pPr>
              <w:pStyle w:val="56"/>
              <w:tabs>
                <w:tab w:val="clear" w:pos="1470"/>
              </w:tabs>
              <w:spacing w:line="240" w:lineRule="auto"/>
              <w:ind w:left="0" w:firstLine="0"/>
              <w:rPr>
                <w:rFonts w:ascii="宋体" w:hAnsi="宋体"/>
                <w:color w:val="000000"/>
                <w:sz w:val="21"/>
                <w:szCs w:val="21"/>
              </w:rPr>
            </w:pPr>
            <w:r>
              <w:rPr>
                <w:rFonts w:hint="eastAsia" w:ascii="宋体" w:hAnsi="宋体"/>
                <w:color w:val="000000"/>
                <w:sz w:val="21"/>
                <w:szCs w:val="21"/>
              </w:rPr>
              <w:t>（1）</w:t>
            </w:r>
            <w:r>
              <w:rPr>
                <w:rFonts w:hint="eastAsia" w:ascii="宋体" w:hAnsi="宋体"/>
                <w:kern w:val="0"/>
                <w:sz w:val="21"/>
                <w:szCs w:val="21"/>
                <w:lang w:val="zh-CN"/>
              </w:rPr>
              <w:t>项目组织是否全面</w:t>
            </w:r>
            <w:r>
              <w:rPr>
                <w:rFonts w:hint="eastAsia" w:ascii="宋体" w:hAnsi="宋体"/>
                <w:color w:val="000000"/>
                <w:sz w:val="21"/>
                <w:szCs w:val="21"/>
              </w:rPr>
              <w:t>；</w:t>
            </w:r>
          </w:p>
          <w:p>
            <w:pPr>
              <w:pStyle w:val="56"/>
              <w:tabs>
                <w:tab w:val="clear" w:pos="1470"/>
              </w:tabs>
              <w:spacing w:line="240" w:lineRule="auto"/>
              <w:ind w:left="0" w:firstLine="0"/>
              <w:rPr>
                <w:rFonts w:ascii="宋体" w:hAnsi="宋体"/>
                <w:color w:val="000000"/>
                <w:sz w:val="21"/>
                <w:szCs w:val="21"/>
              </w:rPr>
            </w:pPr>
            <w:r>
              <w:rPr>
                <w:rFonts w:hint="eastAsia" w:ascii="宋体" w:hAnsi="宋体"/>
                <w:color w:val="000000"/>
                <w:sz w:val="21"/>
                <w:szCs w:val="21"/>
              </w:rPr>
              <w:t>（2）</w:t>
            </w:r>
            <w:r>
              <w:rPr>
                <w:rFonts w:hint="eastAsia" w:ascii="宋体" w:hAnsi="宋体"/>
                <w:kern w:val="0"/>
                <w:sz w:val="21"/>
                <w:szCs w:val="21"/>
                <w:lang w:val="zh-CN"/>
              </w:rPr>
              <w:t>项目进度安排是否合理</w:t>
            </w:r>
            <w:r>
              <w:rPr>
                <w:rFonts w:hint="eastAsia" w:ascii="宋体" w:hAnsi="宋体"/>
                <w:color w:val="000000"/>
                <w:sz w:val="21"/>
                <w:szCs w:val="21"/>
              </w:rPr>
              <w:t>；</w:t>
            </w:r>
          </w:p>
          <w:p>
            <w:pPr>
              <w:pStyle w:val="56"/>
              <w:tabs>
                <w:tab w:val="clear" w:pos="1470"/>
              </w:tabs>
              <w:spacing w:line="240" w:lineRule="auto"/>
              <w:ind w:left="0" w:firstLine="0"/>
              <w:rPr>
                <w:rFonts w:ascii="宋体" w:hAnsi="宋体"/>
                <w:color w:val="000000"/>
                <w:sz w:val="21"/>
                <w:szCs w:val="21"/>
              </w:rPr>
            </w:pPr>
            <w:r>
              <w:rPr>
                <w:rFonts w:hint="eastAsia" w:ascii="宋体" w:hAnsi="宋体"/>
                <w:color w:val="000000"/>
                <w:sz w:val="21"/>
                <w:szCs w:val="21"/>
              </w:rPr>
              <w:t>（3）</w:t>
            </w:r>
            <w:r>
              <w:rPr>
                <w:rFonts w:hint="eastAsia" w:ascii="宋体" w:hAnsi="宋体"/>
                <w:kern w:val="0"/>
                <w:sz w:val="21"/>
                <w:szCs w:val="21"/>
                <w:lang w:val="zh-CN"/>
              </w:rPr>
              <w:t>保障措施是否严谨细致</w:t>
            </w:r>
            <w:r>
              <w:rPr>
                <w:rFonts w:hint="eastAsia" w:ascii="宋体" w:hAnsi="宋体"/>
                <w:color w:val="000000"/>
                <w:sz w:val="21"/>
                <w:szCs w:val="21"/>
              </w:rPr>
              <w:t>；</w:t>
            </w:r>
          </w:p>
          <w:p>
            <w:pPr>
              <w:widowControl/>
              <w:jc w:val="left"/>
              <w:textAlignment w:val="top"/>
              <w:rPr>
                <w:szCs w:val="21"/>
              </w:rPr>
            </w:pPr>
            <w:r>
              <w:rPr>
                <w:rFonts w:hint="eastAsia" w:ascii="宋体" w:hAnsi="宋体" w:cs="宋体"/>
                <w:kern w:val="0"/>
                <w:szCs w:val="21"/>
                <w:lang w:bidi="ar"/>
              </w:rPr>
              <w:t>2.</w:t>
            </w:r>
            <w:r>
              <w:rPr>
                <w:rFonts w:ascii="宋体" w:hAnsi="宋体" w:cs="宋体"/>
                <w:kern w:val="0"/>
                <w:szCs w:val="21"/>
                <w:lang w:bidi="ar"/>
              </w:rPr>
              <w:t xml:space="preserve">评分标准： </w:t>
            </w:r>
          </w:p>
          <w:p>
            <w:pPr>
              <w:widowControl/>
              <w:jc w:val="left"/>
              <w:textAlignment w:val="top"/>
              <w:rPr>
                <w:szCs w:val="21"/>
              </w:rPr>
            </w:pPr>
            <w:r>
              <w:rPr>
                <w:rFonts w:ascii="宋体" w:hAnsi="宋体" w:cs="宋体"/>
                <w:kern w:val="0"/>
                <w:szCs w:val="21"/>
                <w:lang w:bidi="ar"/>
              </w:rPr>
              <w:t>满足三点得</w:t>
            </w:r>
            <w:r>
              <w:rPr>
                <w:rFonts w:hint="eastAsia" w:ascii="宋体" w:hAnsi="宋体" w:cs="宋体"/>
                <w:kern w:val="0"/>
                <w:szCs w:val="21"/>
                <w:lang w:bidi="ar"/>
              </w:rPr>
              <w:t>6</w:t>
            </w:r>
            <w:r>
              <w:rPr>
                <w:rFonts w:ascii="宋体" w:hAnsi="宋体" w:cs="宋体"/>
                <w:kern w:val="0"/>
                <w:szCs w:val="21"/>
                <w:lang w:bidi="ar"/>
              </w:rPr>
              <w:t>分，满足任意两点得</w:t>
            </w:r>
            <w:r>
              <w:rPr>
                <w:rFonts w:hint="eastAsia" w:ascii="宋体" w:hAnsi="宋体" w:cs="宋体"/>
                <w:kern w:val="0"/>
                <w:szCs w:val="21"/>
                <w:lang w:bidi="ar"/>
              </w:rPr>
              <w:t>4</w:t>
            </w:r>
            <w:r>
              <w:rPr>
                <w:rFonts w:ascii="宋体" w:hAnsi="宋体" w:cs="宋体"/>
                <w:kern w:val="0"/>
                <w:szCs w:val="21"/>
                <w:lang w:bidi="ar"/>
              </w:rPr>
              <w:t>分，满足任意</w:t>
            </w:r>
            <w:r>
              <w:rPr>
                <w:rFonts w:hint="eastAsia" w:ascii="宋体" w:hAnsi="宋体" w:cs="宋体"/>
                <w:kern w:val="0"/>
                <w:szCs w:val="21"/>
                <w:lang w:bidi="ar"/>
              </w:rPr>
              <w:t>一</w:t>
            </w:r>
            <w:r>
              <w:rPr>
                <w:rFonts w:ascii="宋体" w:hAnsi="宋体" w:cs="宋体"/>
                <w:kern w:val="0"/>
                <w:szCs w:val="21"/>
                <w:lang w:bidi="ar"/>
              </w:rPr>
              <w:t>点得</w:t>
            </w:r>
            <w:r>
              <w:rPr>
                <w:rFonts w:hint="eastAsia" w:ascii="宋体" w:hAnsi="宋体" w:cs="宋体"/>
                <w:kern w:val="0"/>
                <w:szCs w:val="21"/>
                <w:lang w:bidi="ar"/>
              </w:rPr>
              <w:t>2</w:t>
            </w:r>
            <w:r>
              <w:rPr>
                <w:rFonts w:ascii="宋体" w:hAnsi="宋体" w:cs="宋体"/>
                <w:kern w:val="0"/>
                <w:szCs w:val="21"/>
                <w:lang w:bidi="ar"/>
              </w:rPr>
              <w:t>分</w:t>
            </w:r>
            <w:r>
              <w:rPr>
                <w:rFonts w:hint="eastAsia" w:ascii="宋体" w:hAnsi="宋体" w:cs="宋体"/>
                <w:kern w:val="0"/>
                <w:szCs w:val="21"/>
                <w:lang w:bidi="ar"/>
              </w:rPr>
              <w:t>，</w:t>
            </w:r>
            <w:r>
              <w:rPr>
                <w:rFonts w:ascii="宋体" w:hAnsi="宋体" w:cs="宋体"/>
                <w:kern w:val="0"/>
                <w:szCs w:val="21"/>
                <w:lang w:bidi="ar"/>
              </w:rPr>
              <w:t xml:space="preserve">未满足不得分。 </w:t>
            </w:r>
          </w:p>
          <w:p>
            <w:pPr>
              <w:widowControl/>
              <w:jc w:val="left"/>
              <w:textAlignment w:val="top"/>
              <w:rPr>
                <w:szCs w:val="21"/>
              </w:rPr>
            </w:pPr>
            <w:r>
              <w:rPr>
                <w:rFonts w:ascii="宋体" w:hAnsi="宋体" w:cs="宋体"/>
                <w:kern w:val="0"/>
                <w:szCs w:val="21"/>
                <w:lang w:bidi="ar"/>
              </w:rPr>
              <w:t xml:space="preserve">在此基础上，专家根据各供应商的具体响应内容按照量化的评审因素指标进一步评审； </w:t>
            </w:r>
          </w:p>
          <w:p>
            <w:pPr>
              <w:widowControl/>
              <w:jc w:val="left"/>
              <w:textAlignment w:val="top"/>
              <w:rPr>
                <w:szCs w:val="21"/>
              </w:rPr>
            </w:pPr>
            <w:r>
              <w:rPr>
                <w:rFonts w:ascii="宋体" w:hAnsi="宋体" w:cs="宋体"/>
                <w:kern w:val="0"/>
                <w:szCs w:val="21"/>
                <w:lang w:bidi="ar"/>
              </w:rPr>
              <w:t>优</w:t>
            </w:r>
            <w:r>
              <w:rPr>
                <w:rFonts w:hint="eastAsia" w:ascii="宋体" w:hAnsi="宋体" w:cs="宋体"/>
                <w:kern w:val="0"/>
                <w:szCs w:val="21"/>
                <w:lang w:bidi="ar"/>
              </w:rPr>
              <w:t>：</w:t>
            </w:r>
            <w:r>
              <w:rPr>
                <w:rFonts w:hint="eastAsia" w:ascii="宋体" w:hAnsi="宋体"/>
                <w:kern w:val="0"/>
                <w:szCs w:val="21"/>
                <w:lang w:val="zh-CN"/>
              </w:rPr>
              <w:t>项目质量、保障措施及方案可行和合理的</w:t>
            </w:r>
            <w:r>
              <w:rPr>
                <w:rFonts w:hint="eastAsia" w:ascii="宋体" w:hAnsi="宋体" w:cs="宋体"/>
                <w:kern w:val="0"/>
                <w:szCs w:val="21"/>
                <w:lang w:bidi="ar"/>
              </w:rPr>
              <w:t>；</w:t>
            </w:r>
          </w:p>
          <w:p>
            <w:pPr>
              <w:widowControl/>
              <w:jc w:val="left"/>
              <w:textAlignment w:val="top"/>
              <w:rPr>
                <w:szCs w:val="21"/>
              </w:rPr>
            </w:pPr>
            <w:r>
              <w:rPr>
                <w:rFonts w:ascii="宋体" w:hAnsi="宋体" w:cs="宋体"/>
                <w:kern w:val="0"/>
                <w:szCs w:val="21"/>
                <w:lang w:bidi="ar"/>
              </w:rPr>
              <w:t>良</w:t>
            </w:r>
            <w:r>
              <w:rPr>
                <w:rFonts w:hint="eastAsia" w:ascii="宋体" w:hAnsi="宋体" w:cs="宋体"/>
                <w:kern w:val="0"/>
                <w:szCs w:val="21"/>
                <w:lang w:bidi="ar"/>
              </w:rPr>
              <w:t>：</w:t>
            </w:r>
            <w:r>
              <w:rPr>
                <w:rFonts w:hint="eastAsia" w:ascii="宋体" w:hAnsi="宋体"/>
                <w:kern w:val="0"/>
                <w:szCs w:val="21"/>
                <w:lang w:val="zh-CN"/>
              </w:rPr>
              <w:t>项目质量、保障措施及方案比较可行和合理的</w:t>
            </w:r>
            <w:r>
              <w:rPr>
                <w:rFonts w:hint="eastAsia" w:ascii="宋体" w:hAnsi="宋体" w:cs="宋体"/>
                <w:kern w:val="0"/>
                <w:szCs w:val="21"/>
                <w:lang w:bidi="ar"/>
              </w:rPr>
              <w:t>；</w:t>
            </w:r>
          </w:p>
          <w:p>
            <w:pPr>
              <w:widowControl/>
              <w:jc w:val="left"/>
              <w:textAlignment w:val="top"/>
              <w:rPr>
                <w:szCs w:val="21"/>
              </w:rPr>
            </w:pPr>
            <w:r>
              <w:rPr>
                <w:rFonts w:ascii="宋体" w:hAnsi="宋体" w:cs="宋体"/>
                <w:kern w:val="0"/>
                <w:szCs w:val="21"/>
                <w:lang w:bidi="ar"/>
              </w:rPr>
              <w:t>中</w:t>
            </w:r>
            <w:r>
              <w:rPr>
                <w:rFonts w:hint="eastAsia" w:ascii="宋体" w:hAnsi="宋体" w:cs="宋体"/>
                <w:kern w:val="0"/>
                <w:szCs w:val="21"/>
                <w:lang w:bidi="ar"/>
              </w:rPr>
              <w:t>：</w:t>
            </w:r>
            <w:r>
              <w:rPr>
                <w:rFonts w:hint="eastAsia" w:ascii="宋体" w:hAnsi="宋体"/>
                <w:kern w:val="0"/>
                <w:szCs w:val="21"/>
                <w:lang w:val="zh-CN"/>
              </w:rPr>
              <w:t>项目质量、保障措施及方案基本可行和合理的</w:t>
            </w:r>
            <w:r>
              <w:rPr>
                <w:rFonts w:hint="eastAsia" w:ascii="宋体" w:hAnsi="宋体" w:cs="宋体"/>
                <w:kern w:val="0"/>
                <w:szCs w:val="21"/>
                <w:lang w:bidi="ar"/>
              </w:rPr>
              <w:t>；</w:t>
            </w:r>
          </w:p>
          <w:p>
            <w:pPr>
              <w:widowControl/>
              <w:jc w:val="left"/>
              <w:textAlignment w:val="top"/>
              <w:rPr>
                <w:rFonts w:ascii="宋体" w:hAnsi="宋体" w:cs="宋体"/>
                <w:kern w:val="0"/>
                <w:szCs w:val="21"/>
                <w:lang w:bidi="ar"/>
              </w:rPr>
            </w:pPr>
            <w:r>
              <w:rPr>
                <w:rFonts w:ascii="宋体" w:hAnsi="宋体" w:cs="宋体"/>
                <w:kern w:val="0"/>
                <w:szCs w:val="21"/>
                <w:lang w:bidi="ar"/>
              </w:rPr>
              <w:t>差</w:t>
            </w:r>
            <w:r>
              <w:rPr>
                <w:rFonts w:hint="eastAsia" w:ascii="宋体" w:hAnsi="宋体" w:cs="宋体"/>
                <w:kern w:val="0"/>
                <w:szCs w:val="21"/>
                <w:lang w:bidi="ar"/>
              </w:rPr>
              <w:t>：</w:t>
            </w:r>
            <w:r>
              <w:rPr>
                <w:rFonts w:hint="eastAsia" w:ascii="宋体" w:hAnsi="宋体"/>
                <w:kern w:val="0"/>
                <w:szCs w:val="21"/>
                <w:lang w:val="zh-CN"/>
              </w:rPr>
              <w:t>项目质量、保障措施及方案不可行和不合理的</w:t>
            </w:r>
            <w:r>
              <w:rPr>
                <w:rFonts w:hint="eastAsia" w:ascii="宋体" w:hAnsi="宋体" w:cs="宋体"/>
                <w:kern w:val="0"/>
                <w:szCs w:val="21"/>
                <w:lang w:bidi="ar"/>
              </w:rPr>
              <w:t>。</w:t>
            </w:r>
          </w:p>
          <w:p>
            <w:pPr>
              <w:pStyle w:val="12"/>
              <w:rPr>
                <w:rFonts w:ascii="宋体" w:hAnsi="宋体" w:cs="宋体"/>
                <w:sz w:val="21"/>
                <w:szCs w:val="21"/>
                <w:lang w:bidi="ar"/>
              </w:rPr>
            </w:pPr>
            <w:r>
              <w:rPr>
                <w:rFonts w:ascii="宋体" w:hAnsi="宋体" w:cs="宋体"/>
                <w:sz w:val="21"/>
                <w:szCs w:val="21"/>
                <w:lang w:bidi="ar"/>
              </w:rPr>
              <w:t>评审为优的加</w:t>
            </w:r>
            <w:r>
              <w:rPr>
                <w:rFonts w:hint="eastAsia" w:ascii="宋体" w:hAnsi="宋体" w:cs="宋体"/>
                <w:sz w:val="21"/>
                <w:szCs w:val="21"/>
                <w:lang w:bidi="ar"/>
              </w:rPr>
              <w:t>4分；</w:t>
            </w:r>
          </w:p>
          <w:p>
            <w:pPr>
              <w:pStyle w:val="12"/>
              <w:rPr>
                <w:rFonts w:ascii="宋体" w:hAnsi="宋体" w:cs="宋体"/>
                <w:sz w:val="21"/>
                <w:szCs w:val="21"/>
                <w:lang w:bidi="ar"/>
              </w:rPr>
            </w:pPr>
            <w:r>
              <w:rPr>
                <w:rFonts w:ascii="宋体" w:hAnsi="宋体" w:cs="宋体"/>
                <w:sz w:val="21"/>
                <w:szCs w:val="21"/>
                <w:lang w:bidi="ar"/>
              </w:rPr>
              <w:t>评审为</w:t>
            </w:r>
            <w:r>
              <w:rPr>
                <w:rFonts w:hint="eastAsia" w:ascii="宋体" w:hAnsi="宋体" w:cs="宋体"/>
                <w:sz w:val="21"/>
                <w:szCs w:val="21"/>
                <w:lang w:bidi="ar"/>
              </w:rPr>
              <w:t>良</w:t>
            </w:r>
            <w:r>
              <w:rPr>
                <w:rFonts w:ascii="宋体" w:hAnsi="宋体" w:cs="宋体"/>
                <w:sz w:val="21"/>
                <w:szCs w:val="21"/>
                <w:lang w:bidi="ar"/>
              </w:rPr>
              <w:t>的加</w:t>
            </w:r>
            <w:r>
              <w:rPr>
                <w:rFonts w:hint="eastAsia" w:ascii="宋体" w:hAnsi="宋体" w:cs="宋体"/>
                <w:sz w:val="21"/>
                <w:szCs w:val="21"/>
                <w:lang w:bidi="ar"/>
              </w:rPr>
              <w:t>2分；</w:t>
            </w:r>
          </w:p>
          <w:p>
            <w:pPr>
              <w:pStyle w:val="12"/>
              <w:rPr>
                <w:rFonts w:ascii="宋体" w:hAnsi="宋体" w:cs="宋体"/>
                <w:sz w:val="21"/>
                <w:szCs w:val="21"/>
                <w:lang w:bidi="ar"/>
              </w:rPr>
            </w:pPr>
            <w:r>
              <w:rPr>
                <w:rFonts w:ascii="宋体" w:hAnsi="宋体" w:cs="宋体"/>
                <w:sz w:val="21"/>
                <w:szCs w:val="21"/>
                <w:lang w:bidi="ar"/>
              </w:rPr>
              <w:t>评审为</w:t>
            </w:r>
            <w:r>
              <w:rPr>
                <w:rFonts w:hint="eastAsia" w:ascii="宋体" w:hAnsi="宋体" w:cs="宋体"/>
                <w:sz w:val="21"/>
                <w:szCs w:val="21"/>
                <w:lang w:bidi="ar"/>
              </w:rPr>
              <w:t>中</w:t>
            </w:r>
            <w:r>
              <w:rPr>
                <w:rFonts w:ascii="宋体" w:hAnsi="宋体" w:cs="宋体"/>
                <w:sz w:val="21"/>
                <w:szCs w:val="21"/>
                <w:lang w:bidi="ar"/>
              </w:rPr>
              <w:t>的加</w:t>
            </w:r>
            <w:r>
              <w:rPr>
                <w:rFonts w:hint="eastAsia" w:ascii="宋体" w:hAnsi="宋体" w:cs="宋体"/>
                <w:sz w:val="21"/>
                <w:szCs w:val="21"/>
                <w:lang w:bidi="ar"/>
              </w:rPr>
              <w:t>1分；</w:t>
            </w:r>
          </w:p>
          <w:p>
            <w:pPr>
              <w:pStyle w:val="12"/>
              <w:rPr>
                <w:rFonts w:ascii="宋体" w:hAnsi="宋体" w:cs="宋体"/>
                <w:sz w:val="21"/>
                <w:szCs w:val="21"/>
                <w:lang w:bidi="ar"/>
              </w:rPr>
            </w:pPr>
            <w:r>
              <w:rPr>
                <w:rFonts w:ascii="宋体" w:hAnsi="宋体" w:cs="宋体"/>
                <w:sz w:val="21"/>
                <w:szCs w:val="21"/>
                <w:lang w:bidi="ar"/>
              </w:rPr>
              <w:t>评审为</w:t>
            </w:r>
            <w:r>
              <w:rPr>
                <w:rFonts w:hint="eastAsia" w:ascii="宋体" w:hAnsi="宋体" w:cs="宋体"/>
                <w:sz w:val="21"/>
                <w:szCs w:val="21"/>
                <w:lang w:bidi="ar"/>
              </w:rPr>
              <w:t>差</w:t>
            </w:r>
            <w:r>
              <w:rPr>
                <w:rFonts w:ascii="宋体" w:hAnsi="宋体" w:cs="宋体"/>
                <w:sz w:val="21"/>
                <w:szCs w:val="21"/>
                <w:lang w:bidi="ar"/>
              </w:rPr>
              <w:t>的加</w:t>
            </w:r>
            <w:r>
              <w:rPr>
                <w:rFonts w:hint="eastAsia" w:ascii="宋体" w:hAnsi="宋体" w:cs="宋体"/>
                <w:sz w:val="21"/>
                <w:szCs w:val="21"/>
                <w:lang w:bidi="ar"/>
              </w:rPr>
              <w:t>0分；</w:t>
            </w:r>
          </w:p>
          <w:p>
            <w:pPr>
              <w:pStyle w:val="9"/>
              <w:rPr>
                <w:rFonts w:ascii="宋体" w:hAnsi="宋体"/>
                <w:color w:val="000000"/>
                <w:sz w:val="21"/>
                <w:szCs w:val="21"/>
              </w:rPr>
            </w:pPr>
            <w:r>
              <w:rPr>
                <w:rFonts w:ascii="宋体" w:hAnsi="宋体" w:cs="宋体"/>
                <w:sz w:val="21"/>
                <w:szCs w:val="21"/>
                <w:lang w:bidi="ar"/>
              </w:rPr>
              <w:t>如果评审为差，要求专家书面说明理由，并记录在档。</w:t>
            </w:r>
          </w:p>
        </w:tc>
        <w:tc>
          <w:tcPr>
            <w:tcW w:w="1134" w:type="dxa"/>
            <w:vAlign w:val="center"/>
          </w:tcPr>
          <w:p>
            <w:pPr>
              <w:autoSpaceDE w:val="0"/>
              <w:autoSpaceDN w:val="0"/>
              <w:adjustRightInd w:val="0"/>
              <w:jc w:val="left"/>
              <w:rPr>
                <w:rFonts w:ascii="宋体" w:hAnsi="宋体"/>
                <w:kern w:val="0"/>
                <w:szCs w:val="21"/>
                <w:lang w:val="zh-CN"/>
              </w:rPr>
            </w:pPr>
            <w:r>
              <w:rPr>
                <w:rFonts w:hint="eastAsia" w:ascii="宋体" w:hAnsi="宋体"/>
                <w:szCs w:val="21"/>
                <w:lang w:val="zh-CN"/>
              </w:rPr>
              <w:t>评委打分</w:t>
            </w:r>
          </w:p>
        </w:tc>
      </w:tr>
    </w:tbl>
    <w:p/>
    <w:p>
      <w:pPr>
        <w:widowControl/>
        <w:spacing w:line="240" w:lineRule="auto"/>
        <w:jc w:val="left"/>
        <w:outlineLvl w:val="9"/>
        <w:rPr>
          <w:rFonts w:ascii="黑体" w:hAnsi="宋体" w:eastAsia="黑体" w:cs="黑体"/>
          <w:color w:val="000000"/>
          <w:sz w:val="30"/>
          <w:lang w:bidi="ar"/>
        </w:rPr>
      </w:pPr>
      <w:r>
        <w:rPr>
          <w:rFonts w:hint="eastAsia" w:ascii="黑体" w:hAnsi="宋体" w:eastAsia="黑体" w:cs="黑体"/>
          <w:color w:val="000000"/>
          <w:sz w:val="30"/>
          <w:lang w:bidi="ar"/>
        </w:rPr>
        <w:br w:type="page"/>
      </w:r>
    </w:p>
    <w:p>
      <w:pPr>
        <w:widowControl/>
        <w:spacing w:line="400" w:lineRule="exact"/>
        <w:jc w:val="center"/>
        <w:outlineLvl w:val="1"/>
        <w:rPr>
          <w:rFonts w:eastAsia="黑体"/>
          <w:b/>
          <w:bCs/>
          <w:color w:val="000000"/>
          <w:sz w:val="30"/>
        </w:rPr>
      </w:pPr>
      <w:r>
        <w:rPr>
          <w:rFonts w:hint="eastAsia" w:ascii="黑体" w:hAnsi="宋体" w:eastAsia="黑体" w:cs="黑体"/>
          <w:color w:val="000000"/>
          <w:sz w:val="30"/>
          <w:lang w:bidi="ar"/>
        </w:rPr>
        <w:t>第九章、其他</w:t>
      </w:r>
    </w:p>
    <w:p>
      <w:pPr>
        <w:pStyle w:val="9"/>
        <w:widowControl/>
      </w:pPr>
    </w:p>
    <w:p>
      <w:pPr>
        <w:pStyle w:val="9"/>
        <w:widowControl/>
        <w:jc w:val="center"/>
        <w:rPr>
          <w:rFonts w:ascii="仿宋" w:hAnsi="仿宋" w:eastAsia="仿宋" w:cs="仿宋"/>
          <w:b/>
          <w:bCs/>
          <w:color w:val="000000"/>
          <w:sz w:val="24"/>
        </w:rPr>
      </w:pPr>
      <w:r>
        <w:rPr>
          <w:rFonts w:hint="eastAsia" w:ascii="仿宋" w:hAnsi="仿宋" w:eastAsia="仿宋" w:cs="仿宋"/>
          <w:b/>
          <w:bCs/>
          <w:color w:val="000000"/>
          <w:sz w:val="24"/>
        </w:rPr>
        <w:t>《关于印发〈政府采购促进中小企业发展管理办法〉的通知》</w:t>
      </w:r>
    </w:p>
    <w:p>
      <w:pPr>
        <w:pStyle w:val="9"/>
        <w:widowControl/>
        <w:jc w:val="center"/>
        <w:rPr>
          <w:rFonts w:ascii="仿宋" w:hAnsi="仿宋" w:eastAsia="仿宋" w:cs="仿宋"/>
          <w:color w:val="000000"/>
          <w:sz w:val="22"/>
          <w:szCs w:val="22"/>
        </w:rPr>
      </w:pPr>
      <w:r>
        <w:rPr>
          <w:rFonts w:hint="eastAsia" w:ascii="仿宋" w:hAnsi="仿宋" w:eastAsia="仿宋" w:cs="仿宋"/>
          <w:color w:val="000000"/>
          <w:sz w:val="22"/>
          <w:szCs w:val="22"/>
        </w:rPr>
        <w:t>财库〔2020〕46号</w:t>
      </w:r>
    </w:p>
    <w:p>
      <w:pPr>
        <w:pStyle w:val="9"/>
        <w:widowControl/>
        <w:jc w:val="center"/>
        <w:rPr>
          <w:rFonts w:ascii="仿宋" w:hAnsi="仿宋" w:eastAsia="仿宋" w:cs="仿宋"/>
          <w:color w:val="000000"/>
          <w:szCs w:val="21"/>
        </w:rPr>
      </w:pPr>
    </w:p>
    <w:p>
      <w:pPr>
        <w:pStyle w:val="17"/>
        <w:spacing w:before="0" w:beforeAutospacing="0" w:after="0" w:afterAutospacing="0" w:line="27" w:lineRule="atLeast"/>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各中央预算单位办公厅（室），各省、自治区、直辖市、计划单列市财政厅（局）、工业和信息化主管部门，新疆生产建设兵团财政局、工业和信息化主管部门：</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附件：政府采购促进中小企业发展管理办法</w:t>
      </w:r>
    </w:p>
    <w:p>
      <w:pPr>
        <w:pStyle w:val="17"/>
        <w:spacing w:before="0" w:beforeAutospacing="0" w:after="0" w:afterAutospacing="0" w:line="27" w:lineRule="atLeast"/>
        <w:ind w:firstLine="420" w:firstLineChars="200"/>
        <w:jc w:val="right"/>
        <w:rPr>
          <w:rFonts w:ascii="仿宋" w:hAnsi="仿宋" w:eastAsia="仿宋" w:cs="仿宋"/>
          <w:color w:val="000000"/>
          <w:kern w:val="2"/>
          <w:sz w:val="21"/>
          <w:szCs w:val="21"/>
        </w:rPr>
      </w:pPr>
      <w:r>
        <w:rPr>
          <w:rFonts w:hint="eastAsia" w:ascii="仿宋" w:hAnsi="仿宋" w:eastAsia="仿宋" w:cs="仿宋"/>
          <w:color w:val="000000"/>
          <w:kern w:val="2"/>
          <w:sz w:val="21"/>
          <w:szCs w:val="21"/>
        </w:rPr>
        <w:t>财政部</w:t>
      </w:r>
    </w:p>
    <w:p>
      <w:pPr>
        <w:pStyle w:val="17"/>
        <w:spacing w:before="0" w:beforeAutospacing="0" w:after="0" w:afterAutospacing="0" w:line="27" w:lineRule="atLeast"/>
        <w:ind w:firstLine="420" w:firstLineChars="200"/>
        <w:jc w:val="right"/>
        <w:rPr>
          <w:rFonts w:ascii="仿宋" w:hAnsi="仿宋" w:eastAsia="仿宋" w:cs="仿宋"/>
          <w:color w:val="000000"/>
          <w:kern w:val="2"/>
          <w:sz w:val="21"/>
          <w:szCs w:val="21"/>
        </w:rPr>
      </w:pPr>
      <w:r>
        <w:rPr>
          <w:rFonts w:hint="eastAsia" w:ascii="仿宋" w:hAnsi="仿宋" w:eastAsia="仿宋" w:cs="仿宋"/>
          <w:color w:val="000000"/>
          <w:kern w:val="2"/>
          <w:sz w:val="21"/>
          <w:szCs w:val="21"/>
        </w:rPr>
        <w:t>工业和信息化部</w:t>
      </w:r>
    </w:p>
    <w:p>
      <w:pPr>
        <w:pStyle w:val="17"/>
        <w:spacing w:before="0" w:beforeAutospacing="0" w:after="0" w:afterAutospacing="0" w:line="27" w:lineRule="atLeast"/>
        <w:ind w:firstLine="420" w:firstLineChars="200"/>
        <w:jc w:val="right"/>
        <w:rPr>
          <w:rFonts w:ascii="仿宋" w:hAnsi="仿宋" w:eastAsia="仿宋" w:cs="仿宋"/>
          <w:color w:val="000000"/>
          <w:kern w:val="2"/>
          <w:sz w:val="21"/>
          <w:szCs w:val="21"/>
        </w:rPr>
      </w:pPr>
      <w:r>
        <w:rPr>
          <w:rFonts w:hint="eastAsia" w:ascii="仿宋" w:hAnsi="仿宋" w:eastAsia="仿宋" w:cs="仿宋"/>
          <w:color w:val="000000"/>
          <w:kern w:val="2"/>
          <w:sz w:val="21"/>
          <w:szCs w:val="21"/>
        </w:rPr>
        <w:t>2020年12月18日</w:t>
      </w:r>
    </w:p>
    <w:p>
      <w:pPr>
        <w:pStyle w:val="17"/>
        <w:spacing w:before="0" w:beforeAutospacing="0" w:after="0" w:afterAutospacing="0" w:line="27" w:lineRule="atLeast"/>
        <w:ind w:firstLine="420" w:firstLineChars="200"/>
        <w:jc w:val="right"/>
        <w:rPr>
          <w:rFonts w:ascii="仿宋" w:hAnsi="仿宋" w:eastAsia="仿宋" w:cs="仿宋"/>
          <w:color w:val="000000"/>
          <w:kern w:val="2"/>
          <w:sz w:val="21"/>
          <w:szCs w:val="21"/>
        </w:rPr>
      </w:pP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第一条 为了发挥政府采购的政策功能，促进中小企业健康发展，根据《中华人民共和国政府采购法》、《中华人民</w:t>
      </w:r>
      <w:bookmarkStart w:id="65" w:name="_GoBack"/>
      <w:bookmarkEnd w:id="65"/>
      <w:r>
        <w:rPr>
          <w:rFonts w:hint="eastAsia" w:ascii="仿宋" w:hAnsi="仿宋" w:eastAsia="仿宋" w:cs="仿宋"/>
          <w:color w:val="000000"/>
          <w:kern w:val="2"/>
          <w:sz w:val="21"/>
          <w:szCs w:val="21"/>
        </w:rPr>
        <w:t xml:space="preserve">共和国中小企业促进法》等有关法律法规，制定本办法。 </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第三条 采购人在政府采购活动中应当通过加强采购需求管理，落实预留采购份额、价格评审优惠、优先采购等措施，提高中小企业在政府采购中的份额，支持中小企业发展。</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第四条 在政府采购活动中，供应商提供的货物、工程或者服务符合下列情形的，享受本办法规定的中小企业扶持政策：</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（一）在货物采购项目中，货物由中小企业制造，即货物由中小企业生产且使用该中小企业商号或者注册商标；</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（二）在工程采购项目中，工程由中小企业承建，即工程施工单位为中小企业；</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（三）在服务采购项目中，服务由中小企业承接，即提2供服务的人员为中小企业依照《中华人民共和国劳动合同法》订立劳动合同的从业人员。</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在货物采购项目中，供应商提供的货物既有中小企业制造货物，也有大型企业制造货物的，不享受本办法规定的中小企业扶持政策。</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以联合体形式参加政府采购活动，联合体各方均为中小企业的，联合体视同中小企业。其中，联合体各方均为小微企业的，联合体视同小微企业。</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符合下列情形之一的，可不专门面向中小企业预留采购份额：</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（一）法律法规和国家有关政策明确规定优先或者应当面向事业单位、社会组织等非企业主体采购的；</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（二）因确需使用不可替代的专利、专有技术，基础设施限制，或者提供特定公共服务等原因，只能从中小企业之外的供应商处采购的；</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（三）按照本办法规定预留采购份额无法确保充分供应、充分竞争，或者存在可能影响政府采购目标实现的情形；</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（四）框架协议采购项目；</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五）省级以上人民政府财政部门规定的其他情形。除上述情形外，其他均为适宜由中小企业提供的情形。第七条采购限额标准以上，200万元以下的货物和服务采购项目、400万元以下的工程采购项目，适宜由中小企业提供的，采购人应当专门面向中小企业采购。</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（一）将采购项目整体或者设置采购包专门面向中小企业采购；</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（二）要求供应商以联合体形式参加采购活动，且联合体中中小企业承担的部分达到一定比例；</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（三）要求获得采购合同的供应商将采购项目中的一定比例分包给一家或者多家中小企业。组成联合体或者接受分包合同的中小企业与联合体内其他企业、分包企业之间不得存在直接控股、管理关系。</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第九条 对于经主管预算单位统筹后未预留份额专门面向中小企业采购的采购项目，以及预留份额项目中的非预留部分采购包，采购人、采购代理机构应当对符合本办法规定的小微企业报价给予6%—10%（工程项目为3%—5%）的扣4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5九条有关规定重新组织采购活动。</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第十二条 采购项目涉及中小企业采购的，采购文件应当明确以下内容：</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（一）预留份额的采购项目或者采购包，明确该项目或相关采购包专门面向中小企业采购，以及相关标的及预算金额；</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（二）要求以联合体形式参加或者合同分包的，明确联合协议或者分包意向协议中中小企业合同金额应当达到的比例，并作为供应商资格条件；</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（三）非预留份额的采购项目或者采购包，明确有关价格扣除比例或者价格分加分比例；</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（四）规定依据本办法规定享受扶持政策获得政府采购合同的，小微企业不得将合同分包给大中型企业，中型企业不得将合同分包给大型企业；</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（五）采购人认为具备相关条件的，明确对中小企业在资金支付期限、预付款比例等方面的优惠措施；</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（六）明确采购标的对应的中小企业划分标准所属行业；</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七）法律法规和省级以上人民政府财政部门规定的其他事项。第十三条中标、成交供应商享受本办法规定的中小企6业扶持政策的，采购人、采购代理机构应当随中标、成交结果公开中标、成交供应商的《中小企业声明函》。适用招标投标法的政府采购工程建设项目，应当在公示中标候选人时公开中标候选人的《中小企业声明函》。</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第十五条 鼓励各地区、各部门在采购活动中允许中小企业引入信用担保手段，为中小企业在投标（响应）保证、履约保证等方面提供专业化服务。鼓励中小企业依法合规通过政府采购合同融资。</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第十六条 政府采购监督检查、投诉处理及政府采购行政处罚中对中小企业的认定，由货物制造商或者工程、服务供应商注册登记所在地的县级以上人民政府中小企业主管部门负责。</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中小企业主管部门应当在收到财政部门或者有关招标投标行政监督部门关于协助开展中小企业认定函后10个工作日内做出书面答复。</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第十七条 各地区、各部门应当对涉及中小企业采购的预算项目实施全过程绩效管理，合理设置绩效目标和指标，落实扶持中小企业有关政策要求，定期开展绩效监控和评价，强化绩效评价结果应用。</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第二十条 供应商按照本办法规定提供声明函内容不实的，属于提供虚假材料谋取中标、成交，依照《中华人民共和国政府采购法》等国家有关规定追究相应责任。</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适用招标投标法的政府采购工程建设项目，投标人按照本办法规定提供声明函内容不实的，属于弄虚作假骗取中标，依照《中华人民共和国招标投标法》等国家有关规定追究相应责任。</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第二十二条 对外援助项目、国家相关资格或者资质管理制度另有规定的项目，不适用本办法。</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第二十三条 关于视同中小企业的其他主体的政府采购扶持政策，由财政部会同有关部门另行规定。</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第二十四条 省级财政部门可以会同中小企业主管部门根据本办法的规定制定具体实施办法。</w:t>
      </w:r>
    </w:p>
    <w:p>
      <w:pPr>
        <w:pStyle w:val="17"/>
        <w:spacing w:before="0" w:beforeAutospacing="0" w:after="0" w:afterAutospacing="0" w:line="27" w:lineRule="atLeast"/>
        <w:ind w:firstLine="420" w:firstLineChars="200"/>
        <w:jc w:val="both"/>
        <w:rPr>
          <w:rFonts w:ascii="仿宋" w:hAnsi="仿宋" w:eastAsia="仿宋" w:cs="仿宋"/>
          <w:color w:val="000000"/>
          <w:kern w:val="2"/>
          <w:sz w:val="21"/>
          <w:szCs w:val="21"/>
        </w:rPr>
      </w:pPr>
      <w:r>
        <w:rPr>
          <w:rFonts w:hint="eastAsia" w:ascii="仿宋" w:hAnsi="仿宋" w:eastAsia="仿宋" w:cs="仿宋"/>
          <w:color w:val="000000"/>
          <w:kern w:val="2"/>
          <w:sz w:val="21"/>
          <w:szCs w:val="21"/>
        </w:rPr>
        <w:t>第二十五条 本办法自2021年1月1日起施行。《财政部工业和信息化部关于印发〈政府采购促进中小企业发展暂行办法〉的通知》（财库﹝2011﹞181号）同时废止。</w:t>
      </w:r>
    </w:p>
    <w:p>
      <w:pPr>
        <w:rPr>
          <w:rFonts w:ascii="仿宋" w:hAnsi="仿宋" w:eastAsia="仿宋" w:cs="仿宋"/>
          <w:color w:val="000000"/>
          <w:szCs w:val="21"/>
        </w:rPr>
      </w:pPr>
      <w:r>
        <w:rPr>
          <w:rFonts w:hint="eastAsia" w:ascii="仿宋" w:hAnsi="仿宋" w:eastAsia="仿宋" w:cs="仿宋"/>
          <w:color w:val="000000"/>
          <w:szCs w:val="21"/>
          <w:lang w:bidi="ar"/>
        </w:rPr>
        <w:br w:type="page"/>
      </w:r>
    </w:p>
    <w:p>
      <w:pPr>
        <w:pStyle w:val="9"/>
        <w:widowControl/>
        <w:rPr>
          <w:rFonts w:ascii="仿宋" w:hAnsi="仿宋" w:eastAsia="仿宋" w:cs="仿宋"/>
          <w:color w:val="000000"/>
          <w:szCs w:val="21"/>
        </w:rPr>
      </w:pPr>
    </w:p>
    <w:p>
      <w:pPr>
        <w:pStyle w:val="9"/>
        <w:widowControl/>
        <w:jc w:val="center"/>
        <w:rPr>
          <w:rFonts w:ascii="仿宋" w:hAnsi="仿宋" w:eastAsia="仿宋" w:cs="仿宋"/>
          <w:b/>
          <w:bCs/>
          <w:color w:val="000000"/>
          <w:sz w:val="24"/>
        </w:rPr>
      </w:pPr>
      <w:r>
        <w:rPr>
          <w:rFonts w:hint="eastAsia" w:ascii="仿宋" w:hAnsi="仿宋" w:eastAsia="仿宋" w:cs="仿宋"/>
          <w:b/>
          <w:bCs/>
          <w:color w:val="000000"/>
          <w:sz w:val="24"/>
        </w:rPr>
        <w:t>关于印发〈中小企业划型标准规定〉的通知</w:t>
      </w:r>
    </w:p>
    <w:p>
      <w:pPr>
        <w:pStyle w:val="9"/>
        <w:widowControl/>
        <w:jc w:val="center"/>
        <w:rPr>
          <w:rFonts w:ascii="仿宋" w:hAnsi="仿宋" w:eastAsia="仿宋" w:cs="仿宋"/>
          <w:color w:val="000000"/>
          <w:sz w:val="24"/>
        </w:rPr>
      </w:pPr>
      <w:r>
        <w:rPr>
          <w:rFonts w:hint="eastAsia" w:ascii="仿宋" w:hAnsi="仿宋" w:eastAsia="仿宋" w:cs="仿宋"/>
          <w:color w:val="000000"/>
          <w:sz w:val="22"/>
          <w:szCs w:val="22"/>
        </w:rPr>
        <w:t>工信部联企〔2011〕300号</w:t>
      </w:r>
    </w:p>
    <w:p>
      <w:pPr>
        <w:pStyle w:val="9"/>
        <w:widowControl/>
        <w:rPr>
          <w:rFonts w:ascii="仿宋" w:hAnsi="仿宋" w:eastAsia="仿宋" w:cs="仿宋"/>
          <w:color w:val="000000"/>
          <w:szCs w:val="21"/>
        </w:rPr>
      </w:pPr>
    </w:p>
    <w:p>
      <w:pPr>
        <w:pStyle w:val="9"/>
        <w:widowControl/>
        <w:rPr>
          <w:rFonts w:ascii="仿宋" w:hAnsi="仿宋" w:eastAsia="仿宋" w:cs="仿宋"/>
          <w:color w:val="000000"/>
          <w:szCs w:val="21"/>
        </w:rPr>
      </w:pPr>
      <w:r>
        <w:rPr>
          <w:rFonts w:hint="eastAsia" w:ascii="仿宋" w:hAnsi="仿宋" w:eastAsia="仿宋" w:cs="仿宋"/>
          <w:color w:val="000000"/>
          <w:szCs w:val="21"/>
        </w:rPr>
        <w:t>各省、自治区、直辖市人民政府，国务院各部委、各直属机构及有关单位：</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9"/>
        <w:widowControl/>
        <w:ind w:firstLine="400" w:firstLineChars="200"/>
        <w:jc w:val="right"/>
        <w:rPr>
          <w:rFonts w:ascii="仿宋" w:hAnsi="仿宋" w:eastAsia="仿宋" w:cs="仿宋"/>
          <w:color w:val="000000"/>
          <w:szCs w:val="21"/>
        </w:rPr>
      </w:pPr>
      <w:r>
        <w:rPr>
          <w:rFonts w:hint="eastAsia" w:ascii="仿宋" w:hAnsi="仿宋" w:eastAsia="仿宋" w:cs="仿宋"/>
          <w:color w:val="000000"/>
          <w:szCs w:val="21"/>
        </w:rPr>
        <w:t>工业和信息化部</w:t>
      </w:r>
    </w:p>
    <w:p>
      <w:pPr>
        <w:pStyle w:val="9"/>
        <w:widowControl/>
        <w:ind w:firstLine="400" w:firstLineChars="200"/>
        <w:jc w:val="right"/>
        <w:rPr>
          <w:rFonts w:ascii="仿宋" w:hAnsi="仿宋" w:eastAsia="仿宋" w:cs="仿宋"/>
          <w:color w:val="000000"/>
          <w:szCs w:val="21"/>
        </w:rPr>
      </w:pPr>
      <w:r>
        <w:rPr>
          <w:rFonts w:hint="eastAsia" w:ascii="仿宋" w:hAnsi="仿宋" w:eastAsia="仿宋" w:cs="仿宋"/>
          <w:color w:val="000000"/>
          <w:szCs w:val="21"/>
        </w:rPr>
        <w:t>国家统计局</w:t>
      </w:r>
    </w:p>
    <w:p>
      <w:pPr>
        <w:pStyle w:val="9"/>
        <w:widowControl/>
        <w:ind w:firstLine="400" w:firstLineChars="200"/>
        <w:jc w:val="right"/>
        <w:rPr>
          <w:rFonts w:ascii="仿宋" w:hAnsi="仿宋" w:eastAsia="仿宋" w:cs="仿宋"/>
          <w:color w:val="000000"/>
          <w:szCs w:val="21"/>
        </w:rPr>
      </w:pPr>
      <w:r>
        <w:rPr>
          <w:rFonts w:hint="eastAsia" w:ascii="仿宋" w:hAnsi="仿宋" w:eastAsia="仿宋" w:cs="仿宋"/>
          <w:color w:val="000000"/>
          <w:szCs w:val="21"/>
        </w:rPr>
        <w:t>国家发展和改革委员会</w:t>
      </w:r>
    </w:p>
    <w:p>
      <w:pPr>
        <w:pStyle w:val="9"/>
        <w:widowControl/>
        <w:ind w:firstLine="400" w:firstLineChars="200"/>
        <w:jc w:val="right"/>
        <w:rPr>
          <w:rFonts w:ascii="仿宋" w:hAnsi="仿宋" w:eastAsia="仿宋" w:cs="仿宋"/>
          <w:color w:val="000000"/>
          <w:szCs w:val="21"/>
        </w:rPr>
      </w:pPr>
      <w:r>
        <w:rPr>
          <w:rFonts w:hint="eastAsia" w:ascii="仿宋" w:hAnsi="仿宋" w:eastAsia="仿宋" w:cs="仿宋"/>
          <w:color w:val="000000"/>
          <w:szCs w:val="21"/>
        </w:rPr>
        <w:t>财政部</w:t>
      </w:r>
    </w:p>
    <w:p>
      <w:pPr>
        <w:pStyle w:val="9"/>
        <w:widowControl/>
        <w:ind w:firstLine="400" w:firstLineChars="200"/>
        <w:jc w:val="right"/>
        <w:rPr>
          <w:rFonts w:ascii="仿宋" w:hAnsi="仿宋" w:eastAsia="仿宋" w:cs="仿宋"/>
          <w:color w:val="000000"/>
          <w:szCs w:val="21"/>
        </w:rPr>
      </w:pPr>
      <w:r>
        <w:rPr>
          <w:rFonts w:hint="eastAsia" w:ascii="仿宋" w:hAnsi="仿宋" w:eastAsia="仿宋" w:cs="仿宋"/>
          <w:color w:val="000000"/>
          <w:szCs w:val="21"/>
        </w:rPr>
        <w:t>二○一一年六月十八日</w:t>
      </w:r>
    </w:p>
    <w:p>
      <w:pPr>
        <w:pStyle w:val="9"/>
        <w:widowControl/>
        <w:ind w:firstLine="400" w:firstLineChars="200"/>
        <w:jc w:val="center"/>
        <w:rPr>
          <w:rFonts w:ascii="仿宋" w:hAnsi="仿宋" w:eastAsia="仿宋" w:cs="仿宋"/>
          <w:color w:val="000000"/>
          <w:szCs w:val="21"/>
        </w:rPr>
      </w:pPr>
    </w:p>
    <w:p>
      <w:pPr>
        <w:pStyle w:val="9"/>
        <w:widowControl/>
        <w:ind w:firstLine="400" w:firstLineChars="200"/>
        <w:jc w:val="center"/>
        <w:rPr>
          <w:rFonts w:ascii="仿宋" w:hAnsi="仿宋" w:eastAsia="仿宋" w:cs="仿宋"/>
          <w:color w:val="000000"/>
          <w:szCs w:val="21"/>
        </w:rPr>
      </w:pPr>
      <w:r>
        <w:rPr>
          <w:rFonts w:hint="eastAsia" w:ascii="仿宋" w:hAnsi="仿宋" w:eastAsia="仿宋" w:cs="仿宋"/>
          <w:color w:val="000000"/>
          <w:szCs w:val="21"/>
        </w:rPr>
        <w:t>中小企业划型标准规定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一、根据《中华人民共和国中小企业促进法》和《国务院关于进一步促进中小企业发展的若干意见》(国发〔2009〕36号)，制定本规定。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二、中小企业划分为中型、小型、微型三种类型，具体标准根据企业从业人员、营业收入、资产总额等指标，结合行业特点制定。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四、各行业划型标准为：</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（一）农、林、牧、渔业。营业收入20000万元以下的为中小微型企业。其中，营业收入500万元及以上的为中型企业，营业收入50万元及以上的为小型企业，营业收入50万元以下的为微型企业。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（十六）其他未列明行业。从业人员300人以下的为中小微型企业。其中，从业人员100人及以上的为中型企业；从业人员10人及以上的为小型企业；从业人员10人以下的为微型企业。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五、企业类型的划分以统计部门的统计数据为依据。</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六、本规定适用于在中华人民共和国境内依法设立的各类所有制和各种组织形式的企业。个体工商户和本规定以外的行业，参照本规定进行划型。</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八、本规定由工业和信息化部、国家统计局会同有关部门根据《国民经济行业分类》修订情况和企业发展变化情况适时修订。</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九、本规定由工业和信息化部、国家统计局会同有关部门负责解释。</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十、本规定自发布之日起执行，原国家经贸委、原国家计委、财政部和国家统计局2003年颁布的《中小企业标准暂行规定》同时废止。</w:t>
      </w:r>
    </w:p>
    <w:p>
      <w:pPr>
        <w:rPr>
          <w:rFonts w:ascii="仿宋" w:hAnsi="仿宋" w:eastAsia="仿宋" w:cs="仿宋"/>
          <w:color w:val="000000"/>
          <w:szCs w:val="21"/>
        </w:rPr>
      </w:pPr>
      <w:r>
        <w:rPr>
          <w:rFonts w:hint="eastAsia" w:ascii="仿宋" w:hAnsi="仿宋" w:eastAsia="仿宋" w:cs="仿宋"/>
          <w:color w:val="000000"/>
          <w:szCs w:val="21"/>
          <w:lang w:bidi="ar"/>
        </w:rPr>
        <w:br w:type="page"/>
      </w:r>
    </w:p>
    <w:p>
      <w:pPr>
        <w:pStyle w:val="9"/>
        <w:widowControl/>
        <w:jc w:val="center"/>
        <w:rPr>
          <w:rFonts w:ascii="仿宋" w:hAnsi="仿宋" w:eastAsia="仿宋" w:cs="仿宋"/>
          <w:b/>
          <w:bCs/>
          <w:color w:val="000000"/>
          <w:sz w:val="24"/>
        </w:rPr>
      </w:pPr>
      <w:r>
        <w:rPr>
          <w:rFonts w:hint="eastAsia" w:ascii="仿宋" w:hAnsi="仿宋" w:eastAsia="仿宋" w:cs="仿宋"/>
          <w:b/>
          <w:bCs/>
          <w:color w:val="000000"/>
          <w:sz w:val="24"/>
        </w:rPr>
        <w:t>国家统计局关于印发《统计上大中小微型企业划分办法（2017）》的通知</w:t>
      </w:r>
    </w:p>
    <w:p>
      <w:pPr>
        <w:pStyle w:val="9"/>
        <w:widowControl/>
        <w:jc w:val="center"/>
        <w:rPr>
          <w:rFonts w:ascii="仿宋" w:hAnsi="仿宋" w:eastAsia="仿宋" w:cs="仿宋"/>
          <w:b/>
          <w:bCs/>
          <w:color w:val="000000"/>
          <w:sz w:val="24"/>
        </w:rPr>
      </w:pPr>
    </w:p>
    <w:p>
      <w:pPr>
        <w:pStyle w:val="9"/>
        <w:widowControl/>
        <w:rPr>
          <w:rFonts w:ascii="仿宋" w:hAnsi="仿宋" w:eastAsia="仿宋" w:cs="仿宋"/>
          <w:color w:val="000000"/>
          <w:szCs w:val="21"/>
        </w:rPr>
      </w:pPr>
      <w:r>
        <w:rPr>
          <w:rFonts w:hint="eastAsia" w:ascii="仿宋" w:hAnsi="仿宋" w:eastAsia="仿宋" w:cs="仿宋"/>
          <w:color w:val="000000"/>
          <w:szCs w:val="21"/>
        </w:rPr>
        <w:t>各省、自治区、直辖市统计局，新疆生产建设兵团统计局，国务院各有关部门，国家统计局各调查总队：</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附件：《统计上大中小微型企业划分办法（2017）》修订说明</w:t>
      </w:r>
    </w:p>
    <w:p>
      <w:pPr>
        <w:pStyle w:val="9"/>
        <w:widowControl/>
        <w:jc w:val="right"/>
        <w:rPr>
          <w:rFonts w:ascii="仿宋" w:hAnsi="仿宋" w:eastAsia="仿宋" w:cs="仿宋"/>
          <w:color w:val="000000"/>
          <w:szCs w:val="21"/>
        </w:rPr>
      </w:pPr>
    </w:p>
    <w:p>
      <w:pPr>
        <w:pStyle w:val="9"/>
        <w:widowControl/>
        <w:jc w:val="right"/>
        <w:rPr>
          <w:rFonts w:ascii="仿宋" w:hAnsi="仿宋" w:eastAsia="仿宋" w:cs="仿宋"/>
          <w:color w:val="000000"/>
          <w:szCs w:val="21"/>
        </w:rPr>
      </w:pPr>
      <w:r>
        <w:rPr>
          <w:rFonts w:hint="eastAsia" w:ascii="仿宋" w:hAnsi="仿宋" w:eastAsia="仿宋" w:cs="仿宋"/>
          <w:color w:val="000000"/>
          <w:szCs w:val="21"/>
        </w:rPr>
        <w:t>国家统计局</w:t>
      </w:r>
    </w:p>
    <w:p>
      <w:pPr>
        <w:pStyle w:val="9"/>
        <w:widowControl/>
        <w:jc w:val="right"/>
        <w:rPr>
          <w:rFonts w:ascii="仿宋" w:hAnsi="仿宋" w:eastAsia="仿宋" w:cs="仿宋"/>
          <w:color w:val="000000"/>
          <w:szCs w:val="21"/>
        </w:rPr>
      </w:pPr>
      <w:r>
        <w:rPr>
          <w:rFonts w:hint="eastAsia" w:ascii="仿宋" w:hAnsi="仿宋" w:eastAsia="仿宋" w:cs="仿宋"/>
          <w:color w:val="000000"/>
          <w:szCs w:val="21"/>
        </w:rPr>
        <w:t>2017年12月28日</w:t>
      </w:r>
    </w:p>
    <w:p>
      <w:pPr>
        <w:pStyle w:val="9"/>
        <w:widowControl/>
        <w:jc w:val="center"/>
        <w:rPr>
          <w:rFonts w:ascii="仿宋" w:hAnsi="仿宋" w:eastAsia="仿宋" w:cs="仿宋"/>
          <w:color w:val="000000"/>
          <w:szCs w:val="21"/>
        </w:rPr>
      </w:pPr>
    </w:p>
    <w:p>
      <w:pPr>
        <w:pStyle w:val="9"/>
        <w:widowControl/>
        <w:jc w:val="center"/>
        <w:rPr>
          <w:rFonts w:ascii="仿宋" w:hAnsi="仿宋" w:eastAsia="仿宋" w:cs="仿宋"/>
          <w:color w:val="000000"/>
          <w:szCs w:val="21"/>
        </w:rPr>
      </w:pPr>
      <w:r>
        <w:rPr>
          <w:rFonts w:hint="eastAsia" w:ascii="仿宋" w:hAnsi="仿宋" w:eastAsia="仿宋" w:cs="仿宋"/>
          <w:color w:val="000000"/>
          <w:szCs w:val="21"/>
        </w:rPr>
        <w:t>统计上大中小微型企业划分办法（2017）</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二、本办法适用对象为在中华人民共和国境内依法设立的各种组织形式的法人企业或单位。个体工商户参照本办法进行划分。</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四、本办法按照行业门类、大类、中类和组合类别，依据从业人员、营业收入、资产总额等指标或替代指标，将我国的企业划分为大型、中型、小型、微型等四种类型。具体划分标准见附表。</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五、企业划分由政府综合统计部门根据统计年报每年确定一次，定报统计原则上不进行调整。</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六、本办法自印发之日起执行，国家统计局2011年印发的《统计上大中小微型企业划分办法》（国统字〔2011〕75号）同时废止。</w:t>
      </w:r>
    </w:p>
    <w:p>
      <w:pPr>
        <w:widowControl/>
        <w:spacing w:line="600" w:lineRule="exact"/>
        <w:jc w:val="left"/>
        <w:rPr>
          <w:rFonts w:ascii="仿宋" w:hAnsi="仿宋" w:eastAsia="仿宋" w:cs="仿宋"/>
          <w:color w:val="000000"/>
          <w:szCs w:val="21"/>
        </w:rPr>
      </w:pPr>
      <w:r>
        <w:rPr>
          <w:rFonts w:hint="eastAsia" w:ascii="仿宋" w:hAnsi="仿宋" w:eastAsia="仿宋" w:cs="仿宋"/>
          <w:color w:val="000000"/>
          <w:szCs w:val="21"/>
          <w:lang w:bidi="ar"/>
        </w:rPr>
        <w:t>附表</w:t>
      </w:r>
    </w:p>
    <w:p>
      <w:pPr>
        <w:widowControl/>
        <w:spacing w:line="330" w:lineRule="atLeast"/>
        <w:jc w:val="center"/>
        <w:rPr>
          <w:rFonts w:ascii="仿宋" w:hAnsi="仿宋" w:eastAsia="仿宋" w:cs="仿宋"/>
          <w:color w:val="000000"/>
          <w:szCs w:val="21"/>
        </w:rPr>
      </w:pPr>
      <w:r>
        <w:rPr>
          <w:rFonts w:hint="eastAsia" w:ascii="仿宋" w:hAnsi="仿宋" w:eastAsia="仿宋" w:cs="仿宋"/>
          <w:color w:val="000000"/>
          <w:szCs w:val="21"/>
          <w:lang w:bidi="ar"/>
        </w:rPr>
        <w:t>统计上大中小微型企业划分标准</w:t>
      </w:r>
    </w:p>
    <w:tbl>
      <w:tblPr>
        <w:tblStyle w:val="20"/>
        <w:tblW w:w="5097" w:type="dxa"/>
        <w:jc w:val="center"/>
        <w:tblLayout w:type="fixed"/>
        <w:tblCellMar>
          <w:top w:w="0" w:type="dxa"/>
          <w:left w:w="108" w:type="dxa"/>
          <w:bottom w:w="0" w:type="dxa"/>
          <w:right w:w="108" w:type="dxa"/>
        </w:tblCellMar>
      </w:tblPr>
      <w:tblGrid>
        <w:gridCol w:w="906"/>
        <w:gridCol w:w="837"/>
        <w:gridCol w:w="479"/>
        <w:gridCol w:w="622"/>
        <w:gridCol w:w="894"/>
        <w:gridCol w:w="815"/>
        <w:gridCol w:w="544"/>
      </w:tblGrid>
      <w:tr>
        <w:tblPrEx>
          <w:tblCellMar>
            <w:top w:w="0" w:type="dxa"/>
            <w:left w:w="108" w:type="dxa"/>
            <w:bottom w:w="0" w:type="dxa"/>
            <w:right w:w="108" w:type="dxa"/>
          </w:tblCellMar>
        </w:tblPrEx>
        <w:trPr>
          <w:trHeight w:val="587" w:hRule="exact"/>
          <w:jc w:val="center"/>
        </w:trPr>
        <w:tc>
          <w:tcPr>
            <w:tcW w:w="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center"/>
              <w:rPr>
                <w:rFonts w:ascii="仿宋" w:hAnsi="仿宋" w:eastAsia="仿宋" w:cs="仿宋"/>
                <w:color w:val="000000"/>
                <w:sz w:val="15"/>
                <w:szCs w:val="15"/>
              </w:rPr>
            </w:pPr>
            <w:r>
              <w:rPr>
                <w:rFonts w:hint="eastAsia" w:ascii="仿宋" w:hAnsi="仿宋" w:eastAsia="仿宋" w:cs="仿宋"/>
                <w:color w:val="000000"/>
                <w:sz w:val="15"/>
                <w:szCs w:val="15"/>
                <w:lang w:bidi="ar"/>
              </w:rPr>
              <w:t>行业名称</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指标名称</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仿宋" w:hAnsi="仿宋" w:eastAsia="仿宋" w:cs="仿宋"/>
                <w:color w:val="000000"/>
                <w:sz w:val="15"/>
                <w:szCs w:val="15"/>
                <w:lang w:eastAsia="zh-CN" w:bidi="ar"/>
              </w:rPr>
            </w:pPr>
            <w:r>
              <w:rPr>
                <w:rFonts w:hint="eastAsia" w:ascii="仿宋" w:hAnsi="仿宋" w:eastAsia="仿宋" w:cs="仿宋"/>
                <w:color w:val="000000"/>
                <w:sz w:val="15"/>
                <w:szCs w:val="15"/>
                <w:lang w:bidi="ar"/>
              </w:rPr>
              <w:t>计量</w:t>
            </w:r>
          </w:p>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单位</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大型</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中型</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小型</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微型</w:t>
            </w:r>
          </w:p>
        </w:tc>
      </w:tr>
      <w:tr>
        <w:tblPrEx>
          <w:tblCellMar>
            <w:top w:w="0" w:type="dxa"/>
            <w:left w:w="108" w:type="dxa"/>
            <w:bottom w:w="0" w:type="dxa"/>
            <w:right w:w="108" w:type="dxa"/>
          </w:tblCellMar>
        </w:tblPrEx>
        <w:trPr>
          <w:trHeight w:val="573" w:hRule="exact"/>
          <w:jc w:val="center"/>
        </w:trPr>
        <w:tc>
          <w:tcPr>
            <w:tcW w:w="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农、林、牧、渔业</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营业收入(Y)</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Y≥20000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500≤Y＜20000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50≤Y＜500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Y＜50</w:t>
            </w:r>
          </w:p>
        </w:tc>
      </w:tr>
      <w:tr>
        <w:tblPrEx>
          <w:tblCellMar>
            <w:top w:w="0" w:type="dxa"/>
            <w:left w:w="108" w:type="dxa"/>
            <w:bottom w:w="0" w:type="dxa"/>
            <w:right w:w="108" w:type="dxa"/>
          </w:tblCellMar>
        </w:tblPrEx>
        <w:trPr>
          <w:trHeight w:val="397" w:hRule="exact"/>
          <w:jc w:val="center"/>
        </w:trPr>
        <w:tc>
          <w:tcPr>
            <w:tcW w:w="9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工业 *</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从业人员(X)</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人</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X≥1000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300≤X＜1000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20≤X＜300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X＜20</w:t>
            </w:r>
          </w:p>
        </w:tc>
      </w:tr>
      <w:tr>
        <w:tblPrEx>
          <w:tblCellMar>
            <w:top w:w="0" w:type="dxa"/>
            <w:left w:w="108" w:type="dxa"/>
            <w:bottom w:w="0" w:type="dxa"/>
            <w:right w:w="108" w:type="dxa"/>
          </w:tblCellMar>
        </w:tblPrEx>
        <w:trPr>
          <w:trHeight w:val="660" w:hRule="exact"/>
          <w:jc w:val="center"/>
        </w:trPr>
        <w:tc>
          <w:tcPr>
            <w:tcW w:w="9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20"/>
                <w:szCs w:val="20"/>
              </w:rPr>
            </w:pP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center"/>
              <w:rPr>
                <w:rFonts w:ascii="仿宋" w:hAnsi="仿宋" w:eastAsia="仿宋" w:cs="仿宋"/>
                <w:color w:val="000000"/>
                <w:sz w:val="15"/>
                <w:szCs w:val="15"/>
              </w:rPr>
            </w:pPr>
            <w:r>
              <w:rPr>
                <w:rFonts w:hint="eastAsia" w:ascii="仿宋" w:hAnsi="仿宋" w:eastAsia="仿宋" w:cs="仿宋"/>
                <w:color w:val="000000"/>
                <w:sz w:val="15"/>
                <w:szCs w:val="15"/>
                <w:lang w:bidi="ar"/>
              </w:rPr>
              <w:t>营业收入(Y)</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Y≥40000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2000≤Y＜40000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300≤Y＜2000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Y＜300</w:t>
            </w:r>
          </w:p>
        </w:tc>
      </w:tr>
      <w:tr>
        <w:tblPrEx>
          <w:tblCellMar>
            <w:top w:w="0" w:type="dxa"/>
            <w:left w:w="108" w:type="dxa"/>
            <w:bottom w:w="0" w:type="dxa"/>
            <w:right w:w="108" w:type="dxa"/>
          </w:tblCellMar>
        </w:tblPrEx>
        <w:trPr>
          <w:trHeight w:val="397" w:hRule="exact"/>
          <w:jc w:val="center"/>
        </w:trPr>
        <w:tc>
          <w:tcPr>
            <w:tcW w:w="9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建筑业</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营业收入(Y)</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Y≥80000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6000≤Y＜80000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300≤Y＜6000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Y＜300</w:t>
            </w:r>
          </w:p>
        </w:tc>
      </w:tr>
      <w:tr>
        <w:tblPrEx>
          <w:tblCellMar>
            <w:top w:w="0" w:type="dxa"/>
            <w:left w:w="108" w:type="dxa"/>
            <w:bottom w:w="0" w:type="dxa"/>
            <w:right w:w="108" w:type="dxa"/>
          </w:tblCellMar>
        </w:tblPrEx>
        <w:trPr>
          <w:trHeight w:val="527" w:hRule="exact"/>
          <w:jc w:val="center"/>
        </w:trPr>
        <w:tc>
          <w:tcPr>
            <w:tcW w:w="9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20"/>
                <w:szCs w:val="20"/>
              </w:rPr>
            </w:pP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center"/>
              <w:rPr>
                <w:rFonts w:ascii="仿宋" w:hAnsi="仿宋" w:eastAsia="仿宋" w:cs="仿宋"/>
                <w:color w:val="000000"/>
                <w:sz w:val="15"/>
                <w:szCs w:val="15"/>
              </w:rPr>
            </w:pPr>
            <w:r>
              <w:rPr>
                <w:rFonts w:hint="eastAsia" w:ascii="仿宋" w:hAnsi="仿宋" w:eastAsia="仿宋" w:cs="仿宋"/>
                <w:color w:val="000000"/>
                <w:sz w:val="15"/>
                <w:szCs w:val="15"/>
                <w:lang w:bidi="ar"/>
              </w:rPr>
              <w:t>资产总额(Z)</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Z≥80000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5000≤Z＜80000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300≤Z＜5000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Z＜300</w:t>
            </w:r>
          </w:p>
        </w:tc>
      </w:tr>
      <w:tr>
        <w:tblPrEx>
          <w:tblCellMar>
            <w:top w:w="0" w:type="dxa"/>
            <w:left w:w="108" w:type="dxa"/>
            <w:bottom w:w="0" w:type="dxa"/>
            <w:right w:w="108" w:type="dxa"/>
          </w:tblCellMar>
        </w:tblPrEx>
        <w:trPr>
          <w:trHeight w:val="397" w:hRule="exact"/>
          <w:jc w:val="center"/>
        </w:trPr>
        <w:tc>
          <w:tcPr>
            <w:tcW w:w="9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批发业</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从业人员(X)</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人</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X≥200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20≤X＜200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5≤X＜20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X＜5</w:t>
            </w:r>
          </w:p>
        </w:tc>
      </w:tr>
      <w:tr>
        <w:tblPrEx>
          <w:tblCellMar>
            <w:top w:w="0" w:type="dxa"/>
            <w:left w:w="108" w:type="dxa"/>
            <w:bottom w:w="0" w:type="dxa"/>
            <w:right w:w="108" w:type="dxa"/>
          </w:tblCellMar>
        </w:tblPrEx>
        <w:trPr>
          <w:trHeight w:val="397" w:hRule="exact"/>
          <w:jc w:val="center"/>
        </w:trPr>
        <w:tc>
          <w:tcPr>
            <w:tcW w:w="9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20"/>
                <w:szCs w:val="20"/>
              </w:rPr>
            </w:pP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center"/>
              <w:rPr>
                <w:rFonts w:ascii="仿宋" w:hAnsi="仿宋" w:eastAsia="仿宋" w:cs="仿宋"/>
                <w:color w:val="000000"/>
                <w:sz w:val="15"/>
                <w:szCs w:val="15"/>
              </w:rPr>
            </w:pPr>
            <w:r>
              <w:rPr>
                <w:rFonts w:hint="eastAsia" w:ascii="仿宋" w:hAnsi="仿宋" w:eastAsia="仿宋" w:cs="仿宋"/>
                <w:color w:val="000000"/>
                <w:sz w:val="15"/>
                <w:szCs w:val="15"/>
                <w:lang w:bidi="ar"/>
              </w:rPr>
              <w:t>营业收入(Y)</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Y≥40000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5000≤Y＜40000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left="-1" w:leftChars="-1" w:hanging="1"/>
              <w:jc w:val="center"/>
              <w:rPr>
                <w:rFonts w:ascii="仿宋" w:hAnsi="仿宋" w:eastAsia="仿宋" w:cs="仿宋"/>
                <w:color w:val="000000"/>
                <w:sz w:val="15"/>
                <w:szCs w:val="15"/>
              </w:rPr>
            </w:pPr>
            <w:r>
              <w:rPr>
                <w:rFonts w:hint="eastAsia" w:ascii="仿宋" w:hAnsi="仿宋" w:eastAsia="仿宋" w:cs="仿宋"/>
                <w:color w:val="000000"/>
                <w:sz w:val="15"/>
                <w:szCs w:val="15"/>
                <w:lang w:bidi="ar"/>
              </w:rPr>
              <w:t>1000≤Y＜5000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Y＜1000</w:t>
            </w:r>
          </w:p>
        </w:tc>
      </w:tr>
      <w:tr>
        <w:tblPrEx>
          <w:tblCellMar>
            <w:top w:w="0" w:type="dxa"/>
            <w:left w:w="108" w:type="dxa"/>
            <w:bottom w:w="0" w:type="dxa"/>
            <w:right w:w="108" w:type="dxa"/>
          </w:tblCellMar>
        </w:tblPrEx>
        <w:trPr>
          <w:trHeight w:val="397" w:hRule="exact"/>
          <w:jc w:val="center"/>
        </w:trPr>
        <w:tc>
          <w:tcPr>
            <w:tcW w:w="9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零售业</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从业人员(X)</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人</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X≥300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50≤X＜300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left="-1" w:leftChars="-1" w:hanging="1"/>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10≤X＜50 </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X＜10</w:t>
            </w:r>
          </w:p>
        </w:tc>
      </w:tr>
      <w:tr>
        <w:tblPrEx>
          <w:tblCellMar>
            <w:top w:w="0" w:type="dxa"/>
            <w:left w:w="108" w:type="dxa"/>
            <w:bottom w:w="0" w:type="dxa"/>
            <w:right w:w="108" w:type="dxa"/>
          </w:tblCellMar>
        </w:tblPrEx>
        <w:trPr>
          <w:trHeight w:val="501" w:hRule="exact"/>
          <w:jc w:val="center"/>
        </w:trPr>
        <w:tc>
          <w:tcPr>
            <w:tcW w:w="9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20"/>
                <w:szCs w:val="20"/>
              </w:rPr>
            </w:pP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center"/>
              <w:rPr>
                <w:rFonts w:ascii="仿宋" w:hAnsi="仿宋" w:eastAsia="仿宋" w:cs="仿宋"/>
                <w:color w:val="000000"/>
                <w:sz w:val="15"/>
                <w:szCs w:val="15"/>
              </w:rPr>
            </w:pPr>
            <w:r>
              <w:rPr>
                <w:rFonts w:hint="eastAsia" w:ascii="仿宋" w:hAnsi="仿宋" w:eastAsia="仿宋" w:cs="仿宋"/>
                <w:color w:val="000000"/>
                <w:sz w:val="15"/>
                <w:szCs w:val="15"/>
                <w:lang w:bidi="ar"/>
              </w:rPr>
              <w:t>营业收入(Y)</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Y≥20000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500≤Y＜20000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left="-1" w:leftChars="-1" w:hanging="1"/>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100≤Y＜500 </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Y＜100</w:t>
            </w:r>
          </w:p>
        </w:tc>
      </w:tr>
      <w:tr>
        <w:tblPrEx>
          <w:tblCellMar>
            <w:top w:w="0" w:type="dxa"/>
            <w:left w:w="108" w:type="dxa"/>
            <w:bottom w:w="0" w:type="dxa"/>
            <w:right w:w="108" w:type="dxa"/>
          </w:tblCellMar>
        </w:tblPrEx>
        <w:trPr>
          <w:trHeight w:val="397" w:hRule="exact"/>
          <w:jc w:val="center"/>
        </w:trPr>
        <w:tc>
          <w:tcPr>
            <w:tcW w:w="9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交通运输业 *</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从业人员(X)</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人</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X≥1000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300≤X＜1000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20≤X＜300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X＜20</w:t>
            </w:r>
          </w:p>
        </w:tc>
      </w:tr>
      <w:tr>
        <w:tblPrEx>
          <w:tblCellMar>
            <w:top w:w="0" w:type="dxa"/>
            <w:left w:w="108" w:type="dxa"/>
            <w:bottom w:w="0" w:type="dxa"/>
            <w:right w:w="108" w:type="dxa"/>
          </w:tblCellMar>
        </w:tblPrEx>
        <w:trPr>
          <w:trHeight w:val="545" w:hRule="exact"/>
          <w:jc w:val="center"/>
        </w:trPr>
        <w:tc>
          <w:tcPr>
            <w:tcW w:w="9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20"/>
                <w:szCs w:val="20"/>
              </w:rPr>
            </w:pP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center"/>
              <w:rPr>
                <w:rFonts w:ascii="仿宋" w:hAnsi="仿宋" w:eastAsia="仿宋" w:cs="仿宋"/>
                <w:color w:val="000000"/>
                <w:sz w:val="15"/>
                <w:szCs w:val="15"/>
              </w:rPr>
            </w:pPr>
            <w:r>
              <w:rPr>
                <w:rFonts w:hint="eastAsia" w:ascii="仿宋" w:hAnsi="仿宋" w:eastAsia="仿宋" w:cs="仿宋"/>
                <w:color w:val="000000"/>
                <w:sz w:val="15"/>
                <w:szCs w:val="15"/>
                <w:lang w:bidi="ar"/>
              </w:rPr>
              <w:t>营业收入(Y)</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Y≥30000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3000≤Y＜30000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200≤Y＜3000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Y＜200</w:t>
            </w:r>
          </w:p>
        </w:tc>
      </w:tr>
      <w:tr>
        <w:tblPrEx>
          <w:tblCellMar>
            <w:top w:w="0" w:type="dxa"/>
            <w:left w:w="108" w:type="dxa"/>
            <w:bottom w:w="0" w:type="dxa"/>
            <w:right w:w="108" w:type="dxa"/>
          </w:tblCellMar>
        </w:tblPrEx>
        <w:trPr>
          <w:trHeight w:val="397" w:hRule="exact"/>
          <w:jc w:val="center"/>
        </w:trPr>
        <w:tc>
          <w:tcPr>
            <w:tcW w:w="9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仓储业*</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从业人员(X)</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人</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X≥200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left="-17" w:leftChars="-51" w:hanging="90" w:hangingChars="60"/>
              <w:jc w:val="center"/>
              <w:rPr>
                <w:rFonts w:ascii="仿宋" w:hAnsi="仿宋" w:eastAsia="仿宋" w:cs="仿宋"/>
                <w:color w:val="000000"/>
                <w:sz w:val="15"/>
                <w:szCs w:val="15"/>
              </w:rPr>
            </w:pPr>
            <w:r>
              <w:rPr>
                <w:rFonts w:hint="eastAsia" w:ascii="仿宋" w:hAnsi="仿宋" w:eastAsia="仿宋" w:cs="仿宋"/>
                <w:color w:val="000000"/>
                <w:sz w:val="15"/>
                <w:szCs w:val="15"/>
                <w:lang w:bidi="ar"/>
              </w:rPr>
              <w:t>100≤X＜200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20≤X＜100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X＜20</w:t>
            </w:r>
          </w:p>
        </w:tc>
      </w:tr>
      <w:tr>
        <w:tblPrEx>
          <w:tblCellMar>
            <w:top w:w="0" w:type="dxa"/>
            <w:left w:w="108" w:type="dxa"/>
            <w:bottom w:w="0" w:type="dxa"/>
            <w:right w:w="108" w:type="dxa"/>
          </w:tblCellMar>
        </w:tblPrEx>
        <w:trPr>
          <w:trHeight w:val="529" w:hRule="exact"/>
          <w:jc w:val="center"/>
        </w:trPr>
        <w:tc>
          <w:tcPr>
            <w:tcW w:w="9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20"/>
                <w:szCs w:val="20"/>
              </w:rPr>
            </w:pP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center"/>
              <w:rPr>
                <w:rFonts w:ascii="仿宋" w:hAnsi="仿宋" w:eastAsia="仿宋" w:cs="仿宋"/>
                <w:color w:val="000000"/>
                <w:sz w:val="15"/>
                <w:szCs w:val="15"/>
              </w:rPr>
            </w:pPr>
            <w:r>
              <w:rPr>
                <w:rFonts w:hint="eastAsia" w:ascii="仿宋" w:hAnsi="仿宋" w:eastAsia="仿宋" w:cs="仿宋"/>
                <w:color w:val="000000"/>
                <w:sz w:val="15"/>
                <w:szCs w:val="15"/>
                <w:lang w:bidi="ar"/>
              </w:rPr>
              <w:t>营业收入(Y)</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Y≥30000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1000≤Y＜30000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100≤Y＜1000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Y＜100</w:t>
            </w:r>
          </w:p>
        </w:tc>
      </w:tr>
      <w:tr>
        <w:tblPrEx>
          <w:tblCellMar>
            <w:top w:w="0" w:type="dxa"/>
            <w:left w:w="108" w:type="dxa"/>
            <w:bottom w:w="0" w:type="dxa"/>
            <w:right w:w="108" w:type="dxa"/>
          </w:tblCellMar>
        </w:tblPrEx>
        <w:trPr>
          <w:trHeight w:val="397" w:hRule="exact"/>
          <w:jc w:val="center"/>
        </w:trPr>
        <w:tc>
          <w:tcPr>
            <w:tcW w:w="9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邮政业</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从业人员(X)</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人</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X≥1000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300≤X＜1000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20≤X＜300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X＜20</w:t>
            </w:r>
          </w:p>
        </w:tc>
      </w:tr>
      <w:tr>
        <w:tblPrEx>
          <w:tblCellMar>
            <w:top w:w="0" w:type="dxa"/>
            <w:left w:w="108" w:type="dxa"/>
            <w:bottom w:w="0" w:type="dxa"/>
            <w:right w:w="108" w:type="dxa"/>
          </w:tblCellMar>
        </w:tblPrEx>
        <w:trPr>
          <w:trHeight w:val="649" w:hRule="exact"/>
          <w:jc w:val="center"/>
        </w:trPr>
        <w:tc>
          <w:tcPr>
            <w:tcW w:w="9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20"/>
                <w:szCs w:val="20"/>
              </w:rPr>
            </w:pP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center"/>
              <w:rPr>
                <w:rFonts w:ascii="仿宋" w:hAnsi="仿宋" w:eastAsia="仿宋" w:cs="仿宋"/>
                <w:color w:val="000000"/>
                <w:sz w:val="15"/>
                <w:szCs w:val="15"/>
              </w:rPr>
            </w:pPr>
            <w:r>
              <w:rPr>
                <w:rFonts w:hint="eastAsia" w:ascii="仿宋" w:hAnsi="仿宋" w:eastAsia="仿宋" w:cs="仿宋"/>
                <w:color w:val="000000"/>
                <w:sz w:val="15"/>
                <w:szCs w:val="15"/>
                <w:lang w:bidi="ar"/>
              </w:rPr>
              <w:t>营业收入(Y)</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Y≥30000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2000≤Y＜30000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100≤Y＜2000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Y＜100</w:t>
            </w:r>
          </w:p>
        </w:tc>
      </w:tr>
      <w:tr>
        <w:tblPrEx>
          <w:tblCellMar>
            <w:top w:w="0" w:type="dxa"/>
            <w:left w:w="108" w:type="dxa"/>
            <w:bottom w:w="0" w:type="dxa"/>
            <w:right w:w="108" w:type="dxa"/>
          </w:tblCellMar>
        </w:tblPrEx>
        <w:trPr>
          <w:trHeight w:val="397" w:hRule="exact"/>
          <w:jc w:val="center"/>
        </w:trPr>
        <w:tc>
          <w:tcPr>
            <w:tcW w:w="9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住宿业</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从业人员(X)</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人</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X≥300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left="-17" w:leftChars="-51" w:hanging="90" w:hangingChars="60"/>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100≤X＜300 </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10≤X＜100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X＜10</w:t>
            </w:r>
          </w:p>
        </w:tc>
      </w:tr>
      <w:tr>
        <w:tblPrEx>
          <w:tblCellMar>
            <w:top w:w="0" w:type="dxa"/>
            <w:left w:w="108" w:type="dxa"/>
            <w:bottom w:w="0" w:type="dxa"/>
            <w:right w:w="108" w:type="dxa"/>
          </w:tblCellMar>
        </w:tblPrEx>
        <w:trPr>
          <w:trHeight w:val="500" w:hRule="exact"/>
          <w:jc w:val="center"/>
        </w:trPr>
        <w:tc>
          <w:tcPr>
            <w:tcW w:w="9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20"/>
                <w:szCs w:val="20"/>
              </w:rPr>
            </w:pP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center"/>
              <w:rPr>
                <w:rFonts w:ascii="仿宋" w:hAnsi="仿宋" w:eastAsia="仿宋" w:cs="仿宋"/>
                <w:color w:val="000000"/>
                <w:sz w:val="15"/>
                <w:szCs w:val="15"/>
              </w:rPr>
            </w:pPr>
            <w:r>
              <w:rPr>
                <w:rFonts w:hint="eastAsia" w:ascii="仿宋" w:hAnsi="仿宋" w:eastAsia="仿宋" w:cs="仿宋"/>
                <w:color w:val="000000"/>
                <w:sz w:val="15"/>
                <w:szCs w:val="15"/>
                <w:lang w:bidi="ar"/>
              </w:rPr>
              <w:t>营业收入(Y)</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Y≥10000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2000≤Y＜10000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100≤Y＜2000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Y＜100</w:t>
            </w:r>
          </w:p>
        </w:tc>
      </w:tr>
      <w:tr>
        <w:tblPrEx>
          <w:tblCellMar>
            <w:top w:w="0" w:type="dxa"/>
            <w:left w:w="108" w:type="dxa"/>
            <w:bottom w:w="0" w:type="dxa"/>
            <w:right w:w="108" w:type="dxa"/>
          </w:tblCellMar>
        </w:tblPrEx>
        <w:trPr>
          <w:trHeight w:val="397" w:hRule="exact"/>
          <w:jc w:val="center"/>
        </w:trPr>
        <w:tc>
          <w:tcPr>
            <w:tcW w:w="9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餐饮业</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从业人员(X)</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人</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X≥300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left="-17" w:leftChars="-51" w:hanging="90" w:hangingChars="60"/>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100≤X＜300 </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10≤X＜100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X＜10</w:t>
            </w:r>
          </w:p>
        </w:tc>
      </w:tr>
      <w:tr>
        <w:tblPrEx>
          <w:tblCellMar>
            <w:top w:w="0" w:type="dxa"/>
            <w:left w:w="108" w:type="dxa"/>
            <w:bottom w:w="0" w:type="dxa"/>
            <w:right w:w="108" w:type="dxa"/>
          </w:tblCellMar>
        </w:tblPrEx>
        <w:trPr>
          <w:trHeight w:val="530" w:hRule="exact"/>
          <w:jc w:val="center"/>
        </w:trPr>
        <w:tc>
          <w:tcPr>
            <w:tcW w:w="9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20"/>
                <w:szCs w:val="20"/>
              </w:rPr>
            </w:pP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center"/>
              <w:rPr>
                <w:rFonts w:ascii="仿宋" w:hAnsi="仿宋" w:eastAsia="仿宋" w:cs="仿宋"/>
                <w:color w:val="000000"/>
                <w:sz w:val="15"/>
                <w:szCs w:val="15"/>
              </w:rPr>
            </w:pPr>
            <w:r>
              <w:rPr>
                <w:rFonts w:hint="eastAsia" w:ascii="仿宋" w:hAnsi="仿宋" w:eastAsia="仿宋" w:cs="仿宋"/>
                <w:color w:val="000000"/>
                <w:sz w:val="15"/>
                <w:szCs w:val="15"/>
                <w:lang w:bidi="ar"/>
              </w:rPr>
              <w:t>营业收入(Y)</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Y≥10000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2000≤Y＜10000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100≤Y＜2000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Y＜100</w:t>
            </w:r>
          </w:p>
        </w:tc>
      </w:tr>
      <w:tr>
        <w:tblPrEx>
          <w:tblCellMar>
            <w:top w:w="0" w:type="dxa"/>
            <w:left w:w="108" w:type="dxa"/>
            <w:bottom w:w="0" w:type="dxa"/>
            <w:right w:w="108" w:type="dxa"/>
          </w:tblCellMar>
        </w:tblPrEx>
        <w:trPr>
          <w:trHeight w:val="397" w:hRule="exact"/>
          <w:jc w:val="center"/>
        </w:trPr>
        <w:tc>
          <w:tcPr>
            <w:tcW w:w="9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信息传输业 *</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从业人员(X)</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人</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X≥2000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100≤X＜2000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10≤X＜100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X＜10</w:t>
            </w:r>
          </w:p>
        </w:tc>
      </w:tr>
      <w:tr>
        <w:tblPrEx>
          <w:tblCellMar>
            <w:top w:w="0" w:type="dxa"/>
            <w:left w:w="108" w:type="dxa"/>
            <w:bottom w:w="0" w:type="dxa"/>
            <w:right w:w="108" w:type="dxa"/>
          </w:tblCellMar>
        </w:tblPrEx>
        <w:trPr>
          <w:trHeight w:val="484" w:hRule="exact"/>
          <w:jc w:val="center"/>
        </w:trPr>
        <w:tc>
          <w:tcPr>
            <w:tcW w:w="9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20"/>
                <w:szCs w:val="20"/>
              </w:rPr>
            </w:pP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center"/>
              <w:rPr>
                <w:rFonts w:ascii="仿宋" w:hAnsi="仿宋" w:eastAsia="仿宋" w:cs="仿宋"/>
                <w:color w:val="000000"/>
                <w:sz w:val="15"/>
                <w:szCs w:val="15"/>
              </w:rPr>
            </w:pPr>
            <w:r>
              <w:rPr>
                <w:rFonts w:hint="eastAsia" w:ascii="仿宋" w:hAnsi="仿宋" w:eastAsia="仿宋" w:cs="仿宋"/>
                <w:color w:val="000000"/>
                <w:sz w:val="15"/>
                <w:szCs w:val="15"/>
                <w:lang w:bidi="ar"/>
              </w:rPr>
              <w:t>营业收入(Y)</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Y≥100000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1000≤Y＜100000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100≤Y＜1000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Y＜100</w:t>
            </w:r>
          </w:p>
        </w:tc>
      </w:tr>
      <w:tr>
        <w:tblPrEx>
          <w:tblCellMar>
            <w:top w:w="0" w:type="dxa"/>
            <w:left w:w="108" w:type="dxa"/>
            <w:bottom w:w="0" w:type="dxa"/>
            <w:right w:w="108" w:type="dxa"/>
          </w:tblCellMar>
        </w:tblPrEx>
        <w:trPr>
          <w:trHeight w:val="340" w:hRule="exact"/>
          <w:jc w:val="center"/>
        </w:trPr>
        <w:tc>
          <w:tcPr>
            <w:tcW w:w="9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软件和信息技术服务业</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从业人员(X)</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人</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X≥300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left="-17" w:leftChars="-51" w:hanging="90" w:hangingChars="60"/>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100≤X＜300 </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10≤X＜100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X＜10</w:t>
            </w:r>
          </w:p>
        </w:tc>
      </w:tr>
      <w:tr>
        <w:tblPrEx>
          <w:tblCellMar>
            <w:top w:w="0" w:type="dxa"/>
            <w:left w:w="108" w:type="dxa"/>
            <w:bottom w:w="0" w:type="dxa"/>
            <w:right w:w="108" w:type="dxa"/>
          </w:tblCellMar>
        </w:tblPrEx>
        <w:trPr>
          <w:trHeight w:val="340" w:hRule="exact"/>
          <w:jc w:val="center"/>
        </w:trPr>
        <w:tc>
          <w:tcPr>
            <w:tcW w:w="9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20"/>
                <w:szCs w:val="20"/>
              </w:rPr>
            </w:pP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营业收入(Y)</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Y≥10000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1000≤Y＜10000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50≤Y＜1000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Y＜50</w:t>
            </w:r>
          </w:p>
        </w:tc>
      </w:tr>
      <w:tr>
        <w:tblPrEx>
          <w:tblCellMar>
            <w:top w:w="0" w:type="dxa"/>
            <w:left w:w="108" w:type="dxa"/>
            <w:bottom w:w="0" w:type="dxa"/>
            <w:right w:w="108" w:type="dxa"/>
          </w:tblCellMar>
        </w:tblPrEx>
        <w:trPr>
          <w:trHeight w:val="340" w:hRule="exact"/>
          <w:jc w:val="center"/>
        </w:trPr>
        <w:tc>
          <w:tcPr>
            <w:tcW w:w="9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房地产开发经营</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营业收入(Y)</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Y≥200000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1000≤Y＜200000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100≤Y＜1000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Y＜100</w:t>
            </w:r>
          </w:p>
        </w:tc>
      </w:tr>
      <w:tr>
        <w:tblPrEx>
          <w:tblCellMar>
            <w:top w:w="0" w:type="dxa"/>
            <w:left w:w="108" w:type="dxa"/>
            <w:bottom w:w="0" w:type="dxa"/>
            <w:right w:w="108" w:type="dxa"/>
          </w:tblCellMar>
        </w:tblPrEx>
        <w:trPr>
          <w:trHeight w:val="340" w:hRule="exact"/>
          <w:jc w:val="center"/>
        </w:trPr>
        <w:tc>
          <w:tcPr>
            <w:tcW w:w="9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20"/>
                <w:szCs w:val="20"/>
              </w:rPr>
            </w:pP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center"/>
              <w:rPr>
                <w:rFonts w:ascii="仿宋" w:hAnsi="仿宋" w:eastAsia="仿宋" w:cs="仿宋"/>
                <w:color w:val="000000"/>
                <w:sz w:val="15"/>
                <w:szCs w:val="15"/>
              </w:rPr>
            </w:pPr>
            <w:r>
              <w:rPr>
                <w:rFonts w:hint="eastAsia" w:ascii="仿宋" w:hAnsi="仿宋" w:eastAsia="仿宋" w:cs="仿宋"/>
                <w:color w:val="000000"/>
                <w:sz w:val="15"/>
                <w:szCs w:val="15"/>
                <w:lang w:bidi="ar"/>
              </w:rPr>
              <w:t>资产总额(Z)</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Z≥10000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5000≤Z＜10000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2000≤Z＜5000   </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Z＜2000</w:t>
            </w:r>
          </w:p>
        </w:tc>
      </w:tr>
      <w:tr>
        <w:tblPrEx>
          <w:tblCellMar>
            <w:top w:w="0" w:type="dxa"/>
            <w:left w:w="108" w:type="dxa"/>
            <w:bottom w:w="0" w:type="dxa"/>
            <w:right w:w="108" w:type="dxa"/>
          </w:tblCellMar>
        </w:tblPrEx>
        <w:trPr>
          <w:trHeight w:val="340" w:hRule="exact"/>
          <w:jc w:val="center"/>
        </w:trPr>
        <w:tc>
          <w:tcPr>
            <w:tcW w:w="9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物业管理</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从业人员(X)</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人</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X≥1000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300≤X＜1000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100≤X＜300 </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X＜100</w:t>
            </w:r>
          </w:p>
        </w:tc>
      </w:tr>
      <w:tr>
        <w:tblPrEx>
          <w:tblCellMar>
            <w:top w:w="0" w:type="dxa"/>
            <w:left w:w="108" w:type="dxa"/>
            <w:bottom w:w="0" w:type="dxa"/>
            <w:right w:w="108" w:type="dxa"/>
          </w:tblCellMar>
        </w:tblPrEx>
        <w:trPr>
          <w:trHeight w:val="340" w:hRule="exact"/>
          <w:jc w:val="center"/>
        </w:trPr>
        <w:tc>
          <w:tcPr>
            <w:tcW w:w="9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20"/>
                <w:szCs w:val="20"/>
              </w:rPr>
            </w:pP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center"/>
              <w:rPr>
                <w:rFonts w:ascii="仿宋" w:hAnsi="仿宋" w:eastAsia="仿宋" w:cs="仿宋"/>
                <w:color w:val="000000"/>
                <w:sz w:val="15"/>
                <w:szCs w:val="15"/>
              </w:rPr>
            </w:pPr>
            <w:r>
              <w:rPr>
                <w:rFonts w:hint="eastAsia" w:ascii="仿宋" w:hAnsi="仿宋" w:eastAsia="仿宋" w:cs="仿宋"/>
                <w:color w:val="000000"/>
                <w:sz w:val="15"/>
                <w:szCs w:val="15"/>
                <w:lang w:bidi="ar"/>
              </w:rPr>
              <w:t>营业收入(Y)</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Y≥5000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left="-17" w:leftChars="-51" w:hanging="90" w:hangingChars="60"/>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1000≤Y＜5000 </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500≤Y＜1000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Y＜500</w:t>
            </w:r>
          </w:p>
        </w:tc>
      </w:tr>
      <w:tr>
        <w:tblPrEx>
          <w:tblCellMar>
            <w:top w:w="0" w:type="dxa"/>
            <w:left w:w="108" w:type="dxa"/>
            <w:bottom w:w="0" w:type="dxa"/>
            <w:right w:w="108" w:type="dxa"/>
          </w:tblCellMar>
        </w:tblPrEx>
        <w:trPr>
          <w:trHeight w:val="340" w:hRule="exact"/>
          <w:jc w:val="center"/>
        </w:trPr>
        <w:tc>
          <w:tcPr>
            <w:tcW w:w="90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租赁和商务服务业</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从业人员(X)</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人</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X≥300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left="-17" w:leftChars="-51" w:hanging="90" w:hangingChars="60"/>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100≤X＜300 </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10≤X＜100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X＜10</w:t>
            </w:r>
          </w:p>
        </w:tc>
      </w:tr>
      <w:tr>
        <w:tblPrEx>
          <w:tblCellMar>
            <w:top w:w="0" w:type="dxa"/>
            <w:left w:w="108" w:type="dxa"/>
            <w:bottom w:w="0" w:type="dxa"/>
            <w:right w:w="108" w:type="dxa"/>
          </w:tblCellMar>
        </w:tblPrEx>
        <w:trPr>
          <w:trHeight w:val="340" w:hRule="exact"/>
          <w:jc w:val="center"/>
        </w:trPr>
        <w:tc>
          <w:tcPr>
            <w:tcW w:w="90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rPr>
                <w:sz w:val="20"/>
                <w:szCs w:val="20"/>
              </w:rPr>
            </w:pP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center"/>
              <w:rPr>
                <w:rFonts w:ascii="仿宋" w:hAnsi="仿宋" w:eastAsia="仿宋" w:cs="仿宋"/>
                <w:color w:val="000000"/>
                <w:sz w:val="15"/>
                <w:szCs w:val="15"/>
              </w:rPr>
            </w:pPr>
            <w:r>
              <w:rPr>
                <w:rFonts w:hint="eastAsia" w:ascii="仿宋" w:hAnsi="仿宋" w:eastAsia="仿宋" w:cs="仿宋"/>
                <w:color w:val="000000"/>
                <w:sz w:val="15"/>
                <w:szCs w:val="15"/>
                <w:lang w:bidi="ar"/>
              </w:rPr>
              <w:t>资产总额(Z)</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万元</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Z≥120000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8000≤Z＜120000</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100≤Z＜8000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Z＜100</w:t>
            </w:r>
          </w:p>
        </w:tc>
      </w:tr>
      <w:tr>
        <w:tblPrEx>
          <w:tblCellMar>
            <w:top w:w="0" w:type="dxa"/>
            <w:left w:w="108" w:type="dxa"/>
            <w:bottom w:w="0" w:type="dxa"/>
            <w:right w:w="108" w:type="dxa"/>
          </w:tblCellMar>
        </w:tblPrEx>
        <w:trPr>
          <w:trHeight w:val="555" w:hRule="exact"/>
          <w:jc w:val="center"/>
        </w:trPr>
        <w:tc>
          <w:tcPr>
            <w:tcW w:w="90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exact"/>
              <w:jc w:val="left"/>
              <w:rPr>
                <w:rFonts w:ascii="仿宋" w:hAnsi="仿宋" w:eastAsia="仿宋" w:cs="仿宋"/>
                <w:color w:val="000000"/>
                <w:sz w:val="15"/>
                <w:szCs w:val="15"/>
              </w:rPr>
            </w:pPr>
            <w:r>
              <w:rPr>
                <w:rFonts w:hint="eastAsia" w:ascii="仿宋" w:hAnsi="仿宋" w:eastAsia="仿宋" w:cs="仿宋"/>
                <w:color w:val="000000"/>
                <w:sz w:val="15"/>
                <w:szCs w:val="15"/>
                <w:lang w:bidi="ar"/>
              </w:rPr>
              <w:t>其他未列明行业 *</w:t>
            </w:r>
          </w:p>
        </w:tc>
        <w:tc>
          <w:tcPr>
            <w:tcW w:w="83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从业人员(X)</w:t>
            </w:r>
          </w:p>
        </w:tc>
        <w:tc>
          <w:tcPr>
            <w:tcW w:w="47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人</w:t>
            </w:r>
          </w:p>
        </w:tc>
        <w:tc>
          <w:tcPr>
            <w:tcW w:w="6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X≥300</w:t>
            </w:r>
          </w:p>
        </w:tc>
        <w:tc>
          <w:tcPr>
            <w:tcW w:w="89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ind w:left="-17" w:leftChars="-51" w:hanging="90" w:hangingChars="60"/>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100≤X＜300 </w:t>
            </w:r>
          </w:p>
        </w:tc>
        <w:tc>
          <w:tcPr>
            <w:tcW w:w="8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 xml:space="preserve"> 10≤X＜100</w:t>
            </w:r>
          </w:p>
        </w:tc>
        <w:tc>
          <w:tcPr>
            <w:tcW w:w="5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仿宋" w:hAnsi="仿宋" w:eastAsia="仿宋" w:cs="仿宋"/>
                <w:color w:val="000000"/>
                <w:sz w:val="15"/>
                <w:szCs w:val="15"/>
              </w:rPr>
            </w:pPr>
            <w:r>
              <w:rPr>
                <w:rFonts w:hint="eastAsia" w:ascii="仿宋" w:hAnsi="仿宋" w:eastAsia="仿宋" w:cs="仿宋"/>
                <w:color w:val="000000"/>
                <w:sz w:val="15"/>
                <w:szCs w:val="15"/>
                <w:lang w:bidi="ar"/>
              </w:rPr>
              <w:t>X＜10</w:t>
            </w:r>
          </w:p>
        </w:tc>
      </w:tr>
    </w:tbl>
    <w:p>
      <w:pPr>
        <w:widowControl/>
        <w:spacing w:line="540" w:lineRule="exact"/>
        <w:rPr>
          <w:rFonts w:ascii="仿宋" w:hAnsi="仿宋" w:eastAsia="仿宋" w:cs="仿宋"/>
          <w:color w:val="000000"/>
          <w:szCs w:val="21"/>
        </w:rPr>
      </w:pPr>
      <w:r>
        <w:rPr>
          <w:rFonts w:hint="eastAsia" w:ascii="仿宋" w:hAnsi="仿宋" w:eastAsia="仿宋" w:cs="仿宋"/>
          <w:color w:val="000000"/>
          <w:szCs w:val="21"/>
          <w:lang w:bidi="ar"/>
        </w:rPr>
        <w:t>说明：</w:t>
      </w:r>
    </w:p>
    <w:p>
      <w:pPr>
        <w:widowControl/>
        <w:spacing w:line="540" w:lineRule="exact"/>
        <w:ind w:firstLine="420" w:firstLineChars="200"/>
        <w:rPr>
          <w:rFonts w:ascii="仿宋" w:hAnsi="仿宋" w:eastAsia="仿宋" w:cs="仿宋"/>
          <w:color w:val="000000"/>
          <w:szCs w:val="21"/>
        </w:rPr>
      </w:pPr>
      <w:r>
        <w:rPr>
          <w:rFonts w:hint="eastAsia" w:ascii="仿宋" w:hAnsi="仿宋" w:eastAsia="仿宋" w:cs="仿宋"/>
          <w:color w:val="000000"/>
          <w:szCs w:val="21"/>
          <w:lang w:bidi="ar"/>
        </w:rPr>
        <w:t>1.大型、中型和小型企业须同时满足所列指标的下限，否则下划一档；微型企业只须满足所列指标中的一项即可。</w:t>
      </w:r>
    </w:p>
    <w:p>
      <w:pPr>
        <w:widowControl/>
        <w:spacing w:line="540" w:lineRule="exact"/>
        <w:ind w:firstLine="420" w:firstLineChars="200"/>
        <w:rPr>
          <w:rFonts w:ascii="仿宋" w:hAnsi="仿宋" w:eastAsia="仿宋" w:cs="仿宋"/>
          <w:color w:val="000000"/>
          <w:szCs w:val="21"/>
        </w:rPr>
      </w:pPr>
      <w:r>
        <w:rPr>
          <w:rFonts w:hint="eastAsia" w:ascii="仿宋" w:hAnsi="仿宋" w:eastAsia="仿宋" w:cs="仿宋"/>
          <w:color w:val="000000"/>
          <w:szCs w:val="21"/>
          <w:lang w:bidi="ar"/>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pacing w:line="540" w:lineRule="exact"/>
        <w:ind w:firstLine="420" w:firstLineChars="200"/>
        <w:rPr>
          <w:rFonts w:ascii="仿宋" w:hAnsi="仿宋" w:eastAsia="仿宋" w:cs="仿宋"/>
          <w:color w:val="000000"/>
          <w:szCs w:val="21"/>
        </w:rPr>
      </w:pPr>
      <w:r>
        <w:rPr>
          <w:rFonts w:hint="eastAsia" w:ascii="仿宋" w:hAnsi="仿宋" w:eastAsia="仿宋" w:cs="仿宋"/>
          <w:color w:val="000000"/>
          <w:szCs w:val="21"/>
          <w:lang w:bidi="ar"/>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rPr>
          <w:rFonts w:ascii="仿宋" w:hAnsi="仿宋" w:eastAsia="仿宋" w:cs="仿宋"/>
          <w:color w:val="000000"/>
          <w:szCs w:val="21"/>
        </w:rPr>
      </w:pPr>
      <w:r>
        <w:rPr>
          <w:rFonts w:hint="eastAsia" w:ascii="仿宋" w:hAnsi="仿宋" w:eastAsia="仿宋" w:cs="仿宋"/>
          <w:color w:val="000000"/>
          <w:szCs w:val="21"/>
          <w:lang w:bidi="ar"/>
        </w:rPr>
        <w:br w:type="page"/>
      </w:r>
    </w:p>
    <w:p>
      <w:pPr>
        <w:pStyle w:val="9"/>
        <w:widowControl/>
        <w:jc w:val="center"/>
        <w:rPr>
          <w:rFonts w:ascii="仿宋" w:hAnsi="仿宋" w:eastAsia="仿宋" w:cs="仿宋"/>
          <w:b/>
          <w:bCs/>
          <w:color w:val="000000"/>
          <w:sz w:val="24"/>
        </w:rPr>
      </w:pPr>
      <w:r>
        <w:rPr>
          <w:rFonts w:hint="eastAsia" w:ascii="仿宋" w:hAnsi="仿宋" w:eastAsia="仿宋" w:cs="仿宋"/>
          <w:b/>
          <w:bCs/>
          <w:color w:val="000000"/>
          <w:sz w:val="24"/>
        </w:rPr>
        <w:t>关于促进残疾人就业政府采购政策的通知</w:t>
      </w:r>
    </w:p>
    <w:p>
      <w:pPr>
        <w:pStyle w:val="9"/>
        <w:widowControl/>
        <w:jc w:val="center"/>
        <w:rPr>
          <w:rFonts w:ascii="仿宋" w:hAnsi="仿宋" w:eastAsia="仿宋" w:cs="仿宋"/>
          <w:color w:val="000000"/>
          <w:sz w:val="22"/>
          <w:szCs w:val="22"/>
        </w:rPr>
      </w:pPr>
      <w:r>
        <w:rPr>
          <w:rFonts w:hint="eastAsia" w:ascii="仿宋" w:hAnsi="仿宋" w:eastAsia="仿宋" w:cs="仿宋"/>
          <w:color w:val="000000"/>
          <w:sz w:val="22"/>
          <w:szCs w:val="22"/>
        </w:rPr>
        <w:t>财库〔2017〕141号</w:t>
      </w:r>
    </w:p>
    <w:p>
      <w:pPr>
        <w:pStyle w:val="9"/>
        <w:widowControl/>
        <w:jc w:val="center"/>
        <w:rPr>
          <w:rFonts w:ascii="仿宋" w:hAnsi="仿宋" w:eastAsia="仿宋" w:cs="仿宋"/>
          <w:color w:val="000000"/>
          <w:szCs w:val="21"/>
        </w:rPr>
      </w:pPr>
    </w:p>
    <w:p>
      <w:pPr>
        <w:pStyle w:val="9"/>
        <w:widowControl/>
        <w:rPr>
          <w:rFonts w:ascii="仿宋" w:hAnsi="仿宋" w:eastAsia="仿宋" w:cs="仿宋"/>
          <w:color w:val="000000"/>
          <w:szCs w:val="21"/>
        </w:rPr>
      </w:pPr>
      <w:r>
        <w:rPr>
          <w:rFonts w:hint="eastAsia" w:ascii="仿宋" w:hAnsi="仿宋" w:eastAsia="仿宋" w:cs="仿宋"/>
          <w:color w:val="00000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为了发挥政府采购促进残疾人就业的作用，进一步保障残疾人权益，依照《政府采购法》、《残疾人保障法》等法律法规及相关规定，现就促进残疾人就业政府采购政策通知如下：</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一、享受政府采购支持政策的残疾人福利性单位应当同时满足以下条件：</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（一）安置的残疾人占本单位在职职工人数的比例不低于25%（含25%），并且安置的残疾人人数不少于10人（含10人）；</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（二）依法与安置的每位残疾人签订了一年以上（含一年）的劳动合同或服务协议；</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（三）为安置的每位残疾人按月足额缴纳了基本养老保险、基本医疗保险、失业保险、工伤保险和生育保险等社会保险费；</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（四）通过银行等金融机构向安置的每位残疾人，按月支付了不低于单位所在区县适用的经省级人民政府批准的月最低工资标准的工资；</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（五）提供本单位制造的货物、承担的工程或者服务（以下简称产品），或者提供其他残疾人福利性单位制造的货物（不包括使用非残疾人福利性单位注册商标的货物）。</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中标、成交供应商为残疾人福利性单位的，采购人或者其委托的采购代理机构应当随中标、成交结果同时公告其《残疾人福利性单位声明函》，接受社会监督。</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供应商提供的《残疾人福利性单位声明函》与事实不符的，依照《政府采购法》第七十七条第一款的规定追究法律责任。</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四、采购人采购公开招标数额标准以上的货物或者服务，因落实促进残疾人就业政策的需要，依法履行有关报批程序后，可采用公开招标以外的采购方式。</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9"/>
        <w:widowControl/>
        <w:ind w:firstLine="400" w:firstLineChars="200"/>
        <w:rPr>
          <w:rFonts w:ascii="仿宋" w:hAnsi="仿宋" w:eastAsia="仿宋" w:cs="仿宋"/>
          <w:color w:val="000000"/>
          <w:szCs w:val="21"/>
        </w:rPr>
      </w:pPr>
      <w:r>
        <w:rPr>
          <w:rFonts w:hint="eastAsia" w:ascii="仿宋" w:hAnsi="仿宋" w:eastAsia="仿宋" w:cs="仿宋"/>
          <w:color w:val="000000"/>
          <w:szCs w:val="21"/>
        </w:rPr>
        <w:t>七、本通知自2017年10月1日起执行。</w:t>
      </w:r>
    </w:p>
    <w:p>
      <w:pPr>
        <w:pStyle w:val="9"/>
        <w:widowControl/>
        <w:ind w:firstLine="400" w:firstLineChars="200"/>
        <w:jc w:val="right"/>
        <w:rPr>
          <w:rFonts w:ascii="仿宋" w:hAnsi="仿宋" w:eastAsia="仿宋" w:cs="仿宋"/>
          <w:color w:val="000000"/>
          <w:szCs w:val="21"/>
        </w:rPr>
      </w:pPr>
      <w:r>
        <w:rPr>
          <w:rFonts w:hint="eastAsia" w:ascii="仿宋" w:hAnsi="仿宋" w:eastAsia="仿宋" w:cs="仿宋"/>
          <w:color w:val="000000"/>
          <w:szCs w:val="21"/>
        </w:rPr>
        <w:t>财政部 民政部 中国残疾人联合会</w:t>
      </w:r>
    </w:p>
    <w:p>
      <w:pPr>
        <w:pStyle w:val="9"/>
        <w:widowControl/>
        <w:ind w:firstLine="400" w:firstLineChars="200"/>
        <w:jc w:val="right"/>
        <w:rPr>
          <w:rFonts w:ascii="仿宋" w:hAnsi="仿宋" w:eastAsia="仿宋" w:cs="仿宋"/>
          <w:color w:val="000000"/>
          <w:szCs w:val="21"/>
        </w:rPr>
      </w:pPr>
      <w:r>
        <w:rPr>
          <w:rFonts w:hint="eastAsia" w:ascii="仿宋" w:hAnsi="仿宋" w:eastAsia="仿宋" w:cs="仿宋"/>
          <w:color w:val="000000"/>
          <w:szCs w:val="21"/>
        </w:rPr>
        <w:t>2017年8月22日</w:t>
      </w:r>
    </w:p>
    <w:p/>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58</w:t>
    </w:r>
    <w:r>
      <w:rPr>
        <w:lang w:val="zh-CN"/>
      </w:rPr>
      <w:fldChar w:fldCharType="end"/>
    </w:r>
  </w:p>
  <w:p>
    <w:pPr>
      <w:pStyle w:val="13"/>
      <w:jc w:val="right"/>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01DEF"/>
    <w:multiLevelType w:val="multilevel"/>
    <w:tmpl w:val="2B701DEF"/>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7576BF6"/>
    <w:multiLevelType w:val="singleLevel"/>
    <w:tmpl w:val="47576BF6"/>
    <w:lvl w:ilvl="0" w:tentative="0">
      <w:start w:val="2"/>
      <w:numFmt w:val="chineseCounting"/>
      <w:suff w:val="nothing"/>
      <w:lvlText w:val="（%1）"/>
      <w:lvlJc w:val="left"/>
      <w:rPr>
        <w:rFonts w:hint="eastAsia"/>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E6"/>
    <w:rsid w:val="0000713D"/>
    <w:rsid w:val="00016A7B"/>
    <w:rsid w:val="00022C58"/>
    <w:rsid w:val="00025D79"/>
    <w:rsid w:val="000336A1"/>
    <w:rsid w:val="00037EC1"/>
    <w:rsid w:val="00044BFE"/>
    <w:rsid w:val="00054870"/>
    <w:rsid w:val="00060D10"/>
    <w:rsid w:val="000733BB"/>
    <w:rsid w:val="0007430F"/>
    <w:rsid w:val="00076278"/>
    <w:rsid w:val="00077A5F"/>
    <w:rsid w:val="00083721"/>
    <w:rsid w:val="00084A9F"/>
    <w:rsid w:val="00084DC3"/>
    <w:rsid w:val="000943FC"/>
    <w:rsid w:val="00096B0C"/>
    <w:rsid w:val="00097EB1"/>
    <w:rsid w:val="000A7956"/>
    <w:rsid w:val="000C07C5"/>
    <w:rsid w:val="000C4CD0"/>
    <w:rsid w:val="000D674E"/>
    <w:rsid w:val="000E4688"/>
    <w:rsid w:val="000E612B"/>
    <w:rsid w:val="000E70EE"/>
    <w:rsid w:val="000F1D4D"/>
    <w:rsid w:val="000F55A1"/>
    <w:rsid w:val="00100C42"/>
    <w:rsid w:val="001157C7"/>
    <w:rsid w:val="0012367D"/>
    <w:rsid w:val="001343D9"/>
    <w:rsid w:val="001404F3"/>
    <w:rsid w:val="00151BA6"/>
    <w:rsid w:val="00180610"/>
    <w:rsid w:val="0018371E"/>
    <w:rsid w:val="0019406E"/>
    <w:rsid w:val="001A7ACB"/>
    <w:rsid w:val="001B0FC0"/>
    <w:rsid w:val="001C24FA"/>
    <w:rsid w:val="001C43BD"/>
    <w:rsid w:val="001C4D1E"/>
    <w:rsid w:val="001C6B6A"/>
    <w:rsid w:val="001C789D"/>
    <w:rsid w:val="001E2A4E"/>
    <w:rsid w:val="001E2BA1"/>
    <w:rsid w:val="001E70FF"/>
    <w:rsid w:val="001F3D73"/>
    <w:rsid w:val="001F7172"/>
    <w:rsid w:val="00206674"/>
    <w:rsid w:val="002118B3"/>
    <w:rsid w:val="002141B2"/>
    <w:rsid w:val="00215F23"/>
    <w:rsid w:val="00221B7A"/>
    <w:rsid w:val="00223FF0"/>
    <w:rsid w:val="00240E27"/>
    <w:rsid w:val="002416E7"/>
    <w:rsid w:val="00243B76"/>
    <w:rsid w:val="002525FF"/>
    <w:rsid w:val="00254033"/>
    <w:rsid w:val="00265135"/>
    <w:rsid w:val="002775FE"/>
    <w:rsid w:val="00277B99"/>
    <w:rsid w:val="00280638"/>
    <w:rsid w:val="00297F02"/>
    <w:rsid w:val="002A2F30"/>
    <w:rsid w:val="002A3794"/>
    <w:rsid w:val="002B31F5"/>
    <w:rsid w:val="002D480E"/>
    <w:rsid w:val="002D5172"/>
    <w:rsid w:val="002E1581"/>
    <w:rsid w:val="0030430A"/>
    <w:rsid w:val="0033083C"/>
    <w:rsid w:val="0033417B"/>
    <w:rsid w:val="003343B2"/>
    <w:rsid w:val="00344C92"/>
    <w:rsid w:val="00344F4E"/>
    <w:rsid w:val="00344F79"/>
    <w:rsid w:val="003510D5"/>
    <w:rsid w:val="00357079"/>
    <w:rsid w:val="00360A11"/>
    <w:rsid w:val="00365DC1"/>
    <w:rsid w:val="003663F7"/>
    <w:rsid w:val="00372995"/>
    <w:rsid w:val="00380174"/>
    <w:rsid w:val="00381B22"/>
    <w:rsid w:val="00383DE8"/>
    <w:rsid w:val="00395E97"/>
    <w:rsid w:val="003A4861"/>
    <w:rsid w:val="003B33D9"/>
    <w:rsid w:val="003B6AC8"/>
    <w:rsid w:val="003D57A4"/>
    <w:rsid w:val="003E2F26"/>
    <w:rsid w:val="003F09F4"/>
    <w:rsid w:val="00403716"/>
    <w:rsid w:val="0040388C"/>
    <w:rsid w:val="004046CF"/>
    <w:rsid w:val="00405911"/>
    <w:rsid w:val="00410EBE"/>
    <w:rsid w:val="004157BE"/>
    <w:rsid w:val="004210D9"/>
    <w:rsid w:val="00421898"/>
    <w:rsid w:val="004276CA"/>
    <w:rsid w:val="00430315"/>
    <w:rsid w:val="00450858"/>
    <w:rsid w:val="004523AF"/>
    <w:rsid w:val="00465041"/>
    <w:rsid w:val="0046542D"/>
    <w:rsid w:val="00471722"/>
    <w:rsid w:val="0047789C"/>
    <w:rsid w:val="00484002"/>
    <w:rsid w:val="004876AA"/>
    <w:rsid w:val="00490A97"/>
    <w:rsid w:val="00496F82"/>
    <w:rsid w:val="004A0B83"/>
    <w:rsid w:val="004A5068"/>
    <w:rsid w:val="004A57B1"/>
    <w:rsid w:val="004B242D"/>
    <w:rsid w:val="004B4FE5"/>
    <w:rsid w:val="004C0DD2"/>
    <w:rsid w:val="004C56B6"/>
    <w:rsid w:val="004C75A1"/>
    <w:rsid w:val="004E085A"/>
    <w:rsid w:val="004E2CC5"/>
    <w:rsid w:val="004E6050"/>
    <w:rsid w:val="004E61EE"/>
    <w:rsid w:val="004F035C"/>
    <w:rsid w:val="00502408"/>
    <w:rsid w:val="00504BF6"/>
    <w:rsid w:val="005170AC"/>
    <w:rsid w:val="00542880"/>
    <w:rsid w:val="005528F0"/>
    <w:rsid w:val="00556F9B"/>
    <w:rsid w:val="005618D9"/>
    <w:rsid w:val="0056682B"/>
    <w:rsid w:val="00584525"/>
    <w:rsid w:val="005B3900"/>
    <w:rsid w:val="005C0C60"/>
    <w:rsid w:val="005D1B8C"/>
    <w:rsid w:val="005D65A3"/>
    <w:rsid w:val="005E2486"/>
    <w:rsid w:val="005E34F2"/>
    <w:rsid w:val="005E3BE0"/>
    <w:rsid w:val="005F1CBC"/>
    <w:rsid w:val="005F3B36"/>
    <w:rsid w:val="00600CF1"/>
    <w:rsid w:val="00604B7E"/>
    <w:rsid w:val="00611284"/>
    <w:rsid w:val="00615BCB"/>
    <w:rsid w:val="00624294"/>
    <w:rsid w:val="00652AF8"/>
    <w:rsid w:val="00654389"/>
    <w:rsid w:val="0065556D"/>
    <w:rsid w:val="00660EE9"/>
    <w:rsid w:val="00662CEB"/>
    <w:rsid w:val="00664E2E"/>
    <w:rsid w:val="00670DA0"/>
    <w:rsid w:val="006712BB"/>
    <w:rsid w:val="006838B4"/>
    <w:rsid w:val="006876F2"/>
    <w:rsid w:val="00692849"/>
    <w:rsid w:val="006A1AC4"/>
    <w:rsid w:val="006A6062"/>
    <w:rsid w:val="006B4990"/>
    <w:rsid w:val="006B4B6F"/>
    <w:rsid w:val="006B6B20"/>
    <w:rsid w:val="006D0FBE"/>
    <w:rsid w:val="006D2A63"/>
    <w:rsid w:val="006D2BE6"/>
    <w:rsid w:val="006D2FEA"/>
    <w:rsid w:val="006D455C"/>
    <w:rsid w:val="006E4E48"/>
    <w:rsid w:val="00712E7D"/>
    <w:rsid w:val="00717459"/>
    <w:rsid w:val="00717554"/>
    <w:rsid w:val="007212B5"/>
    <w:rsid w:val="0072563C"/>
    <w:rsid w:val="00727A80"/>
    <w:rsid w:val="0073218D"/>
    <w:rsid w:val="00752E9A"/>
    <w:rsid w:val="00757D36"/>
    <w:rsid w:val="00762EEB"/>
    <w:rsid w:val="0077147B"/>
    <w:rsid w:val="0077449F"/>
    <w:rsid w:val="00777455"/>
    <w:rsid w:val="007901FE"/>
    <w:rsid w:val="007B397E"/>
    <w:rsid w:val="007B76FA"/>
    <w:rsid w:val="007D2105"/>
    <w:rsid w:val="007D4659"/>
    <w:rsid w:val="007E2B88"/>
    <w:rsid w:val="00800762"/>
    <w:rsid w:val="00817249"/>
    <w:rsid w:val="00822E62"/>
    <w:rsid w:val="00822ECF"/>
    <w:rsid w:val="008257F6"/>
    <w:rsid w:val="008366E9"/>
    <w:rsid w:val="00840C8E"/>
    <w:rsid w:val="008446FA"/>
    <w:rsid w:val="00845856"/>
    <w:rsid w:val="0085321A"/>
    <w:rsid w:val="0085593E"/>
    <w:rsid w:val="008624AE"/>
    <w:rsid w:val="00865FA0"/>
    <w:rsid w:val="008664E5"/>
    <w:rsid w:val="008673A0"/>
    <w:rsid w:val="0087470E"/>
    <w:rsid w:val="00874889"/>
    <w:rsid w:val="008828D7"/>
    <w:rsid w:val="00883100"/>
    <w:rsid w:val="00886686"/>
    <w:rsid w:val="008879C3"/>
    <w:rsid w:val="00887BC3"/>
    <w:rsid w:val="0089035A"/>
    <w:rsid w:val="00896373"/>
    <w:rsid w:val="008C145B"/>
    <w:rsid w:val="008C14CF"/>
    <w:rsid w:val="008C303B"/>
    <w:rsid w:val="008D3BE0"/>
    <w:rsid w:val="008D696F"/>
    <w:rsid w:val="008E237C"/>
    <w:rsid w:val="008E6CD3"/>
    <w:rsid w:val="008F05A1"/>
    <w:rsid w:val="008F186F"/>
    <w:rsid w:val="008F316B"/>
    <w:rsid w:val="008F3458"/>
    <w:rsid w:val="008F5A16"/>
    <w:rsid w:val="008F7FEE"/>
    <w:rsid w:val="00903758"/>
    <w:rsid w:val="009064E3"/>
    <w:rsid w:val="00906800"/>
    <w:rsid w:val="009160CA"/>
    <w:rsid w:val="00921422"/>
    <w:rsid w:val="00925B0F"/>
    <w:rsid w:val="00925DDF"/>
    <w:rsid w:val="00931A5F"/>
    <w:rsid w:val="00935AB4"/>
    <w:rsid w:val="00940F09"/>
    <w:rsid w:val="00943BF8"/>
    <w:rsid w:val="009440AE"/>
    <w:rsid w:val="00963188"/>
    <w:rsid w:val="009633E6"/>
    <w:rsid w:val="00965062"/>
    <w:rsid w:val="009657F5"/>
    <w:rsid w:val="00967FEB"/>
    <w:rsid w:val="00974AAD"/>
    <w:rsid w:val="009875A5"/>
    <w:rsid w:val="0099032A"/>
    <w:rsid w:val="009A2E11"/>
    <w:rsid w:val="009A418F"/>
    <w:rsid w:val="009A446A"/>
    <w:rsid w:val="009A5A7D"/>
    <w:rsid w:val="009B33FF"/>
    <w:rsid w:val="009B3B8A"/>
    <w:rsid w:val="009D6359"/>
    <w:rsid w:val="009E0AAD"/>
    <w:rsid w:val="009E6944"/>
    <w:rsid w:val="009F25A9"/>
    <w:rsid w:val="009F3CF1"/>
    <w:rsid w:val="00A02CE6"/>
    <w:rsid w:val="00A10016"/>
    <w:rsid w:val="00A309E8"/>
    <w:rsid w:val="00A312C7"/>
    <w:rsid w:val="00A362B2"/>
    <w:rsid w:val="00A366D9"/>
    <w:rsid w:val="00A372F3"/>
    <w:rsid w:val="00A4332C"/>
    <w:rsid w:val="00A45A80"/>
    <w:rsid w:val="00A507E5"/>
    <w:rsid w:val="00A53ADA"/>
    <w:rsid w:val="00A61840"/>
    <w:rsid w:val="00A62655"/>
    <w:rsid w:val="00A63EEA"/>
    <w:rsid w:val="00A71F75"/>
    <w:rsid w:val="00A746EA"/>
    <w:rsid w:val="00A8131C"/>
    <w:rsid w:val="00A950CF"/>
    <w:rsid w:val="00AA64B2"/>
    <w:rsid w:val="00AB2D12"/>
    <w:rsid w:val="00AC054A"/>
    <w:rsid w:val="00AC283E"/>
    <w:rsid w:val="00AD4344"/>
    <w:rsid w:val="00AF0C4D"/>
    <w:rsid w:val="00AF5E72"/>
    <w:rsid w:val="00B0023A"/>
    <w:rsid w:val="00B02BA8"/>
    <w:rsid w:val="00B115C3"/>
    <w:rsid w:val="00B16E9D"/>
    <w:rsid w:val="00B23508"/>
    <w:rsid w:val="00B24C25"/>
    <w:rsid w:val="00B26B10"/>
    <w:rsid w:val="00B43395"/>
    <w:rsid w:val="00B47389"/>
    <w:rsid w:val="00B72D35"/>
    <w:rsid w:val="00B77EC2"/>
    <w:rsid w:val="00B83ED4"/>
    <w:rsid w:val="00B85330"/>
    <w:rsid w:val="00B96A03"/>
    <w:rsid w:val="00B97A9E"/>
    <w:rsid w:val="00B97F7A"/>
    <w:rsid w:val="00BA1DF1"/>
    <w:rsid w:val="00BA1ED8"/>
    <w:rsid w:val="00BC430A"/>
    <w:rsid w:val="00BD219B"/>
    <w:rsid w:val="00BD2EE9"/>
    <w:rsid w:val="00BD324F"/>
    <w:rsid w:val="00BE48BA"/>
    <w:rsid w:val="00BE4E4B"/>
    <w:rsid w:val="00BE7E27"/>
    <w:rsid w:val="00BF4596"/>
    <w:rsid w:val="00BF5C88"/>
    <w:rsid w:val="00C007D7"/>
    <w:rsid w:val="00C02841"/>
    <w:rsid w:val="00C056EE"/>
    <w:rsid w:val="00C05767"/>
    <w:rsid w:val="00C1327A"/>
    <w:rsid w:val="00C16929"/>
    <w:rsid w:val="00C34F0F"/>
    <w:rsid w:val="00C4261B"/>
    <w:rsid w:val="00C43F52"/>
    <w:rsid w:val="00C52D4D"/>
    <w:rsid w:val="00C54109"/>
    <w:rsid w:val="00C55CBB"/>
    <w:rsid w:val="00C56006"/>
    <w:rsid w:val="00C56B0B"/>
    <w:rsid w:val="00C63298"/>
    <w:rsid w:val="00C64903"/>
    <w:rsid w:val="00C7042C"/>
    <w:rsid w:val="00C810D8"/>
    <w:rsid w:val="00C84882"/>
    <w:rsid w:val="00C85467"/>
    <w:rsid w:val="00C87665"/>
    <w:rsid w:val="00C97956"/>
    <w:rsid w:val="00CA7DA1"/>
    <w:rsid w:val="00CB497F"/>
    <w:rsid w:val="00CB66FF"/>
    <w:rsid w:val="00CB714F"/>
    <w:rsid w:val="00CC4188"/>
    <w:rsid w:val="00CC60D8"/>
    <w:rsid w:val="00CD2E13"/>
    <w:rsid w:val="00CE037A"/>
    <w:rsid w:val="00CE0A16"/>
    <w:rsid w:val="00CE2930"/>
    <w:rsid w:val="00CF30D5"/>
    <w:rsid w:val="00CF3E04"/>
    <w:rsid w:val="00D10464"/>
    <w:rsid w:val="00D14F1B"/>
    <w:rsid w:val="00D21EA4"/>
    <w:rsid w:val="00D23E2F"/>
    <w:rsid w:val="00D37010"/>
    <w:rsid w:val="00D40159"/>
    <w:rsid w:val="00D42AF9"/>
    <w:rsid w:val="00D66219"/>
    <w:rsid w:val="00D907BC"/>
    <w:rsid w:val="00DA40A7"/>
    <w:rsid w:val="00DB1128"/>
    <w:rsid w:val="00DC01A0"/>
    <w:rsid w:val="00DC28BE"/>
    <w:rsid w:val="00DC431A"/>
    <w:rsid w:val="00DD6202"/>
    <w:rsid w:val="00DF460B"/>
    <w:rsid w:val="00DF4EE7"/>
    <w:rsid w:val="00DF7A43"/>
    <w:rsid w:val="00E02B49"/>
    <w:rsid w:val="00E0334D"/>
    <w:rsid w:val="00E12E3A"/>
    <w:rsid w:val="00E13017"/>
    <w:rsid w:val="00E163EF"/>
    <w:rsid w:val="00E25DF5"/>
    <w:rsid w:val="00E26DED"/>
    <w:rsid w:val="00E410C4"/>
    <w:rsid w:val="00E41A44"/>
    <w:rsid w:val="00E44A4B"/>
    <w:rsid w:val="00E56A7B"/>
    <w:rsid w:val="00E66B72"/>
    <w:rsid w:val="00E70DDF"/>
    <w:rsid w:val="00E745F9"/>
    <w:rsid w:val="00E7533D"/>
    <w:rsid w:val="00E83CC2"/>
    <w:rsid w:val="00E94026"/>
    <w:rsid w:val="00E971A7"/>
    <w:rsid w:val="00EA0B46"/>
    <w:rsid w:val="00EA45E3"/>
    <w:rsid w:val="00EB5293"/>
    <w:rsid w:val="00EB54DB"/>
    <w:rsid w:val="00EB76FC"/>
    <w:rsid w:val="00EC75DE"/>
    <w:rsid w:val="00ED136B"/>
    <w:rsid w:val="00ED6A24"/>
    <w:rsid w:val="00EE281A"/>
    <w:rsid w:val="00EE3114"/>
    <w:rsid w:val="00EF535A"/>
    <w:rsid w:val="00EF74FC"/>
    <w:rsid w:val="00F04099"/>
    <w:rsid w:val="00F07360"/>
    <w:rsid w:val="00F07E34"/>
    <w:rsid w:val="00F266E6"/>
    <w:rsid w:val="00F446C7"/>
    <w:rsid w:val="00F60D09"/>
    <w:rsid w:val="00F7057B"/>
    <w:rsid w:val="00F767E2"/>
    <w:rsid w:val="00F80D18"/>
    <w:rsid w:val="00F81386"/>
    <w:rsid w:val="00F90C97"/>
    <w:rsid w:val="00FB14A2"/>
    <w:rsid w:val="00FB36A2"/>
    <w:rsid w:val="00FB582B"/>
    <w:rsid w:val="00FD1454"/>
    <w:rsid w:val="00FD49E4"/>
    <w:rsid w:val="00FE11CA"/>
    <w:rsid w:val="00FF36A5"/>
    <w:rsid w:val="04136F4C"/>
    <w:rsid w:val="04C30D3E"/>
    <w:rsid w:val="070C4C0F"/>
    <w:rsid w:val="07133C6D"/>
    <w:rsid w:val="09EF6C13"/>
    <w:rsid w:val="0A672097"/>
    <w:rsid w:val="0B9659A7"/>
    <w:rsid w:val="0BAE30A2"/>
    <w:rsid w:val="0EB75826"/>
    <w:rsid w:val="0F9F6365"/>
    <w:rsid w:val="11F223FE"/>
    <w:rsid w:val="15A629E2"/>
    <w:rsid w:val="1E380731"/>
    <w:rsid w:val="1E3C67A3"/>
    <w:rsid w:val="1E4926FB"/>
    <w:rsid w:val="1FFB45A1"/>
    <w:rsid w:val="250454EA"/>
    <w:rsid w:val="25861D82"/>
    <w:rsid w:val="2AEF4372"/>
    <w:rsid w:val="2B8D373E"/>
    <w:rsid w:val="2E102253"/>
    <w:rsid w:val="2F429A97"/>
    <w:rsid w:val="2FB7538F"/>
    <w:rsid w:val="328C7768"/>
    <w:rsid w:val="32DA493A"/>
    <w:rsid w:val="334F7B22"/>
    <w:rsid w:val="33B002EA"/>
    <w:rsid w:val="364A2121"/>
    <w:rsid w:val="3A397B75"/>
    <w:rsid w:val="3E2D0463"/>
    <w:rsid w:val="3FE952CC"/>
    <w:rsid w:val="408150F7"/>
    <w:rsid w:val="413E30C7"/>
    <w:rsid w:val="41476986"/>
    <w:rsid w:val="4594719C"/>
    <w:rsid w:val="470B79CC"/>
    <w:rsid w:val="48907F51"/>
    <w:rsid w:val="494B2817"/>
    <w:rsid w:val="4FF7229C"/>
    <w:rsid w:val="52BD3685"/>
    <w:rsid w:val="58CD4FF7"/>
    <w:rsid w:val="58FD17DB"/>
    <w:rsid w:val="5AAF590A"/>
    <w:rsid w:val="61515986"/>
    <w:rsid w:val="63485A08"/>
    <w:rsid w:val="68467B80"/>
    <w:rsid w:val="6DDD5884"/>
    <w:rsid w:val="73F53705"/>
    <w:rsid w:val="7F1C6C9E"/>
    <w:rsid w:val="7F97C122"/>
    <w:rsid w:val="CFFF5E1C"/>
    <w:rsid w:val="FEFF1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6" w:lineRule="auto"/>
      <w:outlineLvl w:val="0"/>
    </w:pPr>
    <w:rPr>
      <w:b/>
      <w:kern w:val="44"/>
      <w:sz w:val="44"/>
    </w:rPr>
  </w:style>
  <w:style w:type="paragraph" w:styleId="4">
    <w:name w:val="heading 2"/>
    <w:basedOn w:val="5"/>
    <w:next w:val="6"/>
    <w:link w:val="26"/>
    <w:qFormat/>
    <w:uiPriority w:val="0"/>
    <w:pPr>
      <w:spacing w:line="360" w:lineRule="auto"/>
      <w:jc w:val="center"/>
      <w:outlineLvl w:val="1"/>
    </w:pPr>
    <w:rPr>
      <w:rFonts w:ascii="黑体" w:hAnsi="宋体" w:eastAsia="黑体"/>
      <w:b w:val="0"/>
      <w:bCs w:val="0"/>
      <w:sz w:val="28"/>
      <w:szCs w:val="21"/>
    </w:rPr>
  </w:style>
  <w:style w:type="paragraph" w:styleId="5">
    <w:name w:val="heading 3"/>
    <w:basedOn w:val="1"/>
    <w:next w:val="1"/>
    <w:link w:val="27"/>
    <w:qFormat/>
    <w:uiPriority w:val="0"/>
    <w:pPr>
      <w:keepNext/>
      <w:keepLines/>
      <w:spacing w:before="260" w:after="260" w:line="416" w:lineRule="auto"/>
      <w:outlineLvl w:val="2"/>
    </w:pPr>
    <w:rPr>
      <w:rFonts w:ascii="Times New Roman" w:hAnsi="Times New Roman"/>
      <w:b/>
      <w:bCs/>
      <w:kern w:val="0"/>
      <w:sz w:val="32"/>
      <w:szCs w:val="32"/>
    </w:rPr>
  </w:style>
  <w:style w:type="paragraph" w:styleId="6">
    <w:name w:val="heading 4"/>
    <w:basedOn w:val="1"/>
    <w:next w:val="1"/>
    <w:link w:val="28"/>
    <w:qFormat/>
    <w:uiPriority w:val="9"/>
    <w:pPr>
      <w:keepNext/>
      <w:keepLines/>
      <w:spacing w:before="280" w:after="290" w:line="376" w:lineRule="auto"/>
      <w:outlineLvl w:val="3"/>
    </w:pPr>
    <w:rPr>
      <w:rFonts w:ascii="Calibri Light" w:hAnsi="Calibri Light"/>
      <w:b/>
      <w:bCs/>
      <w:kern w:val="0"/>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3"/>
    <w:qFormat/>
    <w:uiPriority w:val="0"/>
    <w:pPr>
      <w:spacing w:line="360" w:lineRule="auto"/>
    </w:pPr>
    <w:rPr>
      <w:b/>
      <w:bCs/>
      <w:sz w:val="24"/>
    </w:rPr>
  </w:style>
  <w:style w:type="paragraph" w:styleId="7">
    <w:name w:val="Normal Indent"/>
    <w:basedOn w:val="1"/>
    <w:link w:val="30"/>
    <w:qFormat/>
    <w:uiPriority w:val="0"/>
    <w:pPr>
      <w:ind w:firstLine="420" w:firstLineChars="200"/>
    </w:pPr>
    <w:rPr>
      <w:szCs w:val="20"/>
    </w:rPr>
  </w:style>
  <w:style w:type="paragraph" w:styleId="8">
    <w:name w:val="Document Map"/>
    <w:basedOn w:val="1"/>
    <w:link w:val="31"/>
    <w:unhideWhenUsed/>
    <w:qFormat/>
    <w:uiPriority w:val="99"/>
    <w:rPr>
      <w:rFonts w:ascii="宋体"/>
      <w:sz w:val="18"/>
      <w:szCs w:val="18"/>
    </w:rPr>
  </w:style>
  <w:style w:type="paragraph" w:styleId="9">
    <w:name w:val="annotation text"/>
    <w:basedOn w:val="1"/>
    <w:link w:val="32"/>
    <w:unhideWhenUsed/>
    <w:qFormat/>
    <w:uiPriority w:val="99"/>
    <w:pPr>
      <w:jc w:val="left"/>
    </w:pPr>
    <w:rPr>
      <w:rFonts w:ascii="Times New Roman" w:hAnsi="Times New Roman"/>
      <w:kern w:val="0"/>
      <w:sz w:val="20"/>
    </w:rPr>
  </w:style>
  <w:style w:type="paragraph" w:styleId="10">
    <w:name w:val="toc 3"/>
    <w:basedOn w:val="1"/>
    <w:next w:val="1"/>
    <w:unhideWhenUsed/>
    <w:qFormat/>
    <w:uiPriority w:val="39"/>
    <w:pPr>
      <w:ind w:left="840" w:leftChars="400"/>
    </w:pPr>
  </w:style>
  <w:style w:type="paragraph" w:styleId="11">
    <w:name w:val="Plain Text"/>
    <w:basedOn w:val="1"/>
    <w:link w:val="34"/>
    <w:unhideWhenUsed/>
    <w:qFormat/>
    <w:uiPriority w:val="99"/>
    <w:rPr>
      <w:rFonts w:ascii="宋体" w:hAnsi="Courier New"/>
      <w:szCs w:val="20"/>
    </w:rPr>
  </w:style>
  <w:style w:type="paragraph" w:styleId="12">
    <w:name w:val="Balloon Text"/>
    <w:basedOn w:val="1"/>
    <w:link w:val="29"/>
    <w:unhideWhenUsed/>
    <w:qFormat/>
    <w:uiPriority w:val="99"/>
    <w:rPr>
      <w:sz w:val="18"/>
      <w:szCs w:val="18"/>
    </w:rPr>
  </w:style>
  <w:style w:type="paragraph" w:styleId="13">
    <w:name w:val="footer"/>
    <w:basedOn w:val="1"/>
    <w:link w:val="35"/>
    <w:unhideWhenUsed/>
    <w:qFormat/>
    <w:uiPriority w:val="99"/>
    <w:pPr>
      <w:tabs>
        <w:tab w:val="center" w:pos="4153"/>
        <w:tab w:val="right" w:pos="8306"/>
      </w:tabs>
      <w:snapToGrid w:val="0"/>
      <w:jc w:val="left"/>
    </w:pPr>
    <w:rPr>
      <w:kern w:val="0"/>
      <w:sz w:val="18"/>
      <w:szCs w:val="18"/>
    </w:rPr>
  </w:style>
  <w:style w:type="paragraph" w:styleId="14">
    <w:name w:val="header"/>
    <w:basedOn w:val="1"/>
    <w:link w:val="36"/>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pPr>
      <w:tabs>
        <w:tab w:val="right" w:leader="dot" w:pos="8296"/>
      </w:tabs>
      <w:jc w:val="center"/>
    </w:pPr>
    <w:rPr>
      <w:b/>
      <w:sz w:val="30"/>
      <w:szCs w:val="30"/>
    </w:rPr>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link w:val="37"/>
    <w:qFormat/>
    <w:uiPriority w:val="10"/>
    <w:pPr>
      <w:spacing w:before="240" w:after="60"/>
      <w:jc w:val="center"/>
      <w:outlineLvl w:val="0"/>
    </w:pPr>
    <w:rPr>
      <w:rFonts w:ascii="Cambria" w:hAnsi="Cambria"/>
      <w:b/>
      <w:bCs/>
      <w:sz w:val="32"/>
      <w:szCs w:val="32"/>
    </w:rPr>
  </w:style>
  <w:style w:type="paragraph" w:styleId="19">
    <w:name w:val="annotation subject"/>
    <w:basedOn w:val="9"/>
    <w:next w:val="9"/>
    <w:link w:val="38"/>
    <w:unhideWhenUsed/>
    <w:qFormat/>
    <w:uiPriority w:val="99"/>
    <w:rPr>
      <w:b/>
      <w:bCs/>
    </w:rPr>
  </w:style>
  <w:style w:type="character" w:styleId="22">
    <w:name w:val="page number"/>
    <w:qFormat/>
    <w:uiPriority w:val="0"/>
  </w:style>
  <w:style w:type="character" w:styleId="23">
    <w:name w:val="Hyperlink"/>
    <w:unhideWhenUsed/>
    <w:qFormat/>
    <w:uiPriority w:val="99"/>
    <w:rPr>
      <w:color w:val="0000FF"/>
      <w:u w:val="single"/>
    </w:rPr>
  </w:style>
  <w:style w:type="character" w:styleId="24">
    <w:name w:val="annotation reference"/>
    <w:qFormat/>
    <w:uiPriority w:val="99"/>
    <w:rPr>
      <w:sz w:val="21"/>
      <w:szCs w:val="21"/>
    </w:rPr>
  </w:style>
  <w:style w:type="character" w:customStyle="1" w:styleId="25">
    <w:name w:val="标题 1 Char"/>
    <w:basedOn w:val="21"/>
    <w:link w:val="3"/>
    <w:qFormat/>
    <w:uiPriority w:val="9"/>
    <w:rPr>
      <w:rFonts w:ascii="Calibri" w:hAnsi="Calibri" w:eastAsia="宋体" w:cs="Times New Roman"/>
      <w:b/>
      <w:kern w:val="44"/>
      <w:sz w:val="44"/>
      <w:szCs w:val="24"/>
    </w:rPr>
  </w:style>
  <w:style w:type="character" w:customStyle="1" w:styleId="26">
    <w:name w:val="标题 2 Char"/>
    <w:basedOn w:val="21"/>
    <w:link w:val="4"/>
    <w:qFormat/>
    <w:uiPriority w:val="0"/>
    <w:rPr>
      <w:rFonts w:ascii="黑体" w:hAnsi="宋体" w:eastAsia="黑体" w:cs="Times New Roman"/>
      <w:kern w:val="0"/>
      <w:sz w:val="28"/>
      <w:szCs w:val="21"/>
    </w:rPr>
  </w:style>
  <w:style w:type="character" w:customStyle="1" w:styleId="27">
    <w:name w:val="标题 3 Char"/>
    <w:basedOn w:val="21"/>
    <w:link w:val="5"/>
    <w:qFormat/>
    <w:uiPriority w:val="0"/>
    <w:rPr>
      <w:rFonts w:ascii="Times New Roman" w:hAnsi="Times New Roman" w:eastAsia="宋体" w:cs="Times New Roman"/>
      <w:b/>
      <w:bCs/>
      <w:kern w:val="0"/>
      <w:sz w:val="32"/>
      <w:szCs w:val="32"/>
    </w:rPr>
  </w:style>
  <w:style w:type="character" w:customStyle="1" w:styleId="28">
    <w:name w:val="标题 4 Char"/>
    <w:basedOn w:val="21"/>
    <w:link w:val="6"/>
    <w:qFormat/>
    <w:uiPriority w:val="9"/>
    <w:rPr>
      <w:rFonts w:ascii="Calibri Light" w:hAnsi="Calibri Light" w:eastAsia="宋体" w:cs="Times New Roman"/>
      <w:b/>
      <w:bCs/>
      <w:kern w:val="0"/>
      <w:sz w:val="28"/>
      <w:szCs w:val="28"/>
    </w:rPr>
  </w:style>
  <w:style w:type="character" w:customStyle="1" w:styleId="29">
    <w:name w:val="批注框文本 Char"/>
    <w:basedOn w:val="21"/>
    <w:link w:val="12"/>
    <w:qFormat/>
    <w:uiPriority w:val="99"/>
    <w:rPr>
      <w:rFonts w:ascii="Calibri" w:hAnsi="Calibri" w:eastAsia="宋体" w:cs="Times New Roman"/>
      <w:sz w:val="18"/>
      <w:szCs w:val="18"/>
    </w:rPr>
  </w:style>
  <w:style w:type="character" w:customStyle="1" w:styleId="30">
    <w:name w:val="正文缩进 Char"/>
    <w:link w:val="7"/>
    <w:qFormat/>
    <w:uiPriority w:val="0"/>
    <w:rPr>
      <w:rFonts w:ascii="Calibri" w:hAnsi="Calibri" w:eastAsia="宋体" w:cs="Times New Roman"/>
      <w:szCs w:val="20"/>
    </w:rPr>
  </w:style>
  <w:style w:type="character" w:customStyle="1" w:styleId="31">
    <w:name w:val="文档结构图 Char"/>
    <w:basedOn w:val="21"/>
    <w:link w:val="8"/>
    <w:qFormat/>
    <w:uiPriority w:val="99"/>
    <w:rPr>
      <w:rFonts w:ascii="宋体" w:hAnsi="Calibri" w:eastAsia="宋体" w:cs="Times New Roman"/>
      <w:sz w:val="18"/>
      <w:szCs w:val="18"/>
    </w:rPr>
  </w:style>
  <w:style w:type="character" w:customStyle="1" w:styleId="32">
    <w:name w:val="批注文字 Char"/>
    <w:basedOn w:val="21"/>
    <w:link w:val="9"/>
    <w:qFormat/>
    <w:uiPriority w:val="99"/>
    <w:rPr>
      <w:rFonts w:ascii="Times New Roman" w:hAnsi="Times New Roman" w:eastAsia="宋体" w:cs="Times New Roman"/>
      <w:kern w:val="0"/>
      <w:sz w:val="20"/>
      <w:szCs w:val="24"/>
    </w:rPr>
  </w:style>
  <w:style w:type="character" w:customStyle="1" w:styleId="33">
    <w:name w:val="正文文本 Char"/>
    <w:basedOn w:val="21"/>
    <w:link w:val="2"/>
    <w:qFormat/>
    <w:uiPriority w:val="0"/>
    <w:rPr>
      <w:rFonts w:ascii="Calibri" w:hAnsi="Calibri" w:eastAsia="宋体" w:cs="Times New Roman"/>
      <w:b/>
      <w:bCs/>
      <w:sz w:val="24"/>
      <w:szCs w:val="24"/>
    </w:rPr>
  </w:style>
  <w:style w:type="character" w:customStyle="1" w:styleId="34">
    <w:name w:val="纯文本 Char"/>
    <w:basedOn w:val="21"/>
    <w:link w:val="11"/>
    <w:qFormat/>
    <w:uiPriority w:val="99"/>
    <w:rPr>
      <w:rFonts w:ascii="宋体" w:hAnsi="Courier New" w:eastAsia="宋体" w:cs="Times New Roman"/>
      <w:szCs w:val="20"/>
    </w:rPr>
  </w:style>
  <w:style w:type="character" w:customStyle="1" w:styleId="35">
    <w:name w:val="页脚 Char"/>
    <w:basedOn w:val="21"/>
    <w:link w:val="13"/>
    <w:qFormat/>
    <w:uiPriority w:val="99"/>
    <w:rPr>
      <w:rFonts w:ascii="Calibri" w:hAnsi="Calibri" w:eastAsia="宋体" w:cs="Times New Roman"/>
      <w:kern w:val="0"/>
      <w:sz w:val="18"/>
      <w:szCs w:val="18"/>
    </w:rPr>
  </w:style>
  <w:style w:type="character" w:customStyle="1" w:styleId="36">
    <w:name w:val="页眉 Char"/>
    <w:basedOn w:val="21"/>
    <w:link w:val="14"/>
    <w:qFormat/>
    <w:uiPriority w:val="0"/>
    <w:rPr>
      <w:rFonts w:ascii="Calibri" w:hAnsi="Calibri" w:eastAsia="宋体" w:cs="Times New Roman"/>
      <w:kern w:val="0"/>
      <w:sz w:val="18"/>
      <w:szCs w:val="18"/>
    </w:rPr>
  </w:style>
  <w:style w:type="character" w:customStyle="1" w:styleId="37">
    <w:name w:val="标题 Char"/>
    <w:basedOn w:val="21"/>
    <w:link w:val="18"/>
    <w:qFormat/>
    <w:uiPriority w:val="10"/>
    <w:rPr>
      <w:rFonts w:ascii="Cambria" w:hAnsi="Cambria" w:eastAsia="宋体" w:cs="Times New Roman"/>
      <w:b/>
      <w:bCs/>
      <w:sz w:val="32"/>
      <w:szCs w:val="32"/>
    </w:rPr>
  </w:style>
  <w:style w:type="character" w:customStyle="1" w:styleId="38">
    <w:name w:val="批注主题 Char"/>
    <w:basedOn w:val="32"/>
    <w:link w:val="19"/>
    <w:qFormat/>
    <w:uiPriority w:val="99"/>
    <w:rPr>
      <w:rFonts w:ascii="Times New Roman" w:hAnsi="Times New Roman" w:eastAsia="宋体" w:cs="Times New Roman"/>
      <w:b/>
      <w:bCs/>
      <w:kern w:val="0"/>
      <w:sz w:val="20"/>
      <w:szCs w:val="24"/>
    </w:rPr>
  </w:style>
  <w:style w:type="character" w:customStyle="1" w:styleId="39">
    <w:name w:val="批注文字 Char1"/>
    <w:qFormat/>
    <w:uiPriority w:val="0"/>
    <w:rPr>
      <w:kern w:val="2"/>
      <w:sz w:val="21"/>
      <w:szCs w:val="24"/>
    </w:rPr>
  </w:style>
  <w:style w:type="character" w:customStyle="1" w:styleId="40">
    <w:name w:val="z-窗体顶端 Char"/>
    <w:link w:val="41"/>
    <w:qFormat/>
    <w:uiPriority w:val="0"/>
    <w:rPr>
      <w:rFonts w:ascii="宋体"/>
      <w:b/>
      <w:bCs/>
      <w:sz w:val="28"/>
    </w:rPr>
  </w:style>
  <w:style w:type="paragraph" w:customStyle="1" w:styleId="41">
    <w:name w:val="z-窗体顶端1"/>
    <w:basedOn w:val="1"/>
    <w:next w:val="1"/>
    <w:link w:val="40"/>
    <w:qFormat/>
    <w:uiPriority w:val="0"/>
    <w:pPr>
      <w:widowControl/>
      <w:spacing w:line="360" w:lineRule="auto"/>
      <w:jc w:val="center"/>
    </w:pPr>
    <w:rPr>
      <w:rFonts w:ascii="宋体" w:hAnsiTheme="minorHAnsi" w:eastAsiaTheme="minorEastAsia" w:cstheme="minorBidi"/>
      <w:b/>
      <w:bCs/>
      <w:sz w:val="28"/>
      <w:szCs w:val="22"/>
    </w:rPr>
  </w:style>
  <w:style w:type="character" w:customStyle="1" w:styleId="42">
    <w:name w:val="页脚 字符"/>
    <w:semiHidden/>
    <w:qFormat/>
    <w:uiPriority w:val="99"/>
    <w:rPr>
      <w:sz w:val="18"/>
      <w:szCs w:val="18"/>
    </w:rPr>
  </w:style>
  <w:style w:type="character" w:customStyle="1" w:styleId="43">
    <w:name w:val="标题 字符"/>
    <w:qFormat/>
    <w:uiPriority w:val="0"/>
    <w:rPr>
      <w:rFonts w:ascii="Arial" w:hAnsi="Arial" w:eastAsia="隶书" w:cs="Arial"/>
      <w:b/>
      <w:bCs/>
      <w:kern w:val="2"/>
      <w:sz w:val="32"/>
      <w:szCs w:val="32"/>
    </w:rPr>
  </w:style>
  <w:style w:type="character" w:customStyle="1" w:styleId="44">
    <w:name w:val="Hyperlink.0"/>
    <w:qFormat/>
    <w:uiPriority w:val="0"/>
    <w:rPr>
      <w:rFonts w:ascii="宋体" w:hAnsi="宋体" w:eastAsia="宋体" w:cs="宋体"/>
      <w:lang w:val="en-US" w:eastAsia="zh-TW"/>
    </w:rPr>
  </w:style>
  <w:style w:type="character" w:customStyle="1" w:styleId="45">
    <w:name w:val="正文缩进2格 Char"/>
    <w:link w:val="46"/>
    <w:qFormat/>
    <w:locked/>
    <w:uiPriority w:val="0"/>
    <w:rPr>
      <w:rFonts w:ascii="仿宋_GB2312" w:hAnsi="宋体" w:eastAsia="仿宋_GB2312"/>
      <w:sz w:val="28"/>
    </w:rPr>
  </w:style>
  <w:style w:type="paragraph" w:customStyle="1" w:styleId="46">
    <w:name w:val="正文缩进2格"/>
    <w:basedOn w:val="1"/>
    <w:link w:val="45"/>
    <w:qFormat/>
    <w:uiPriority w:val="0"/>
    <w:pPr>
      <w:spacing w:line="600" w:lineRule="exact"/>
      <w:ind w:firstLine="639" w:firstLineChars="206"/>
    </w:pPr>
    <w:rPr>
      <w:rFonts w:ascii="仿宋_GB2312" w:hAnsi="宋体" w:eastAsia="仿宋_GB2312" w:cstheme="minorBidi"/>
      <w:sz w:val="28"/>
      <w:szCs w:val="22"/>
    </w:rPr>
  </w:style>
  <w:style w:type="paragraph" w:customStyle="1" w:styleId="47">
    <w:name w:val="列出段落1"/>
    <w:basedOn w:val="1"/>
    <w:qFormat/>
    <w:uiPriority w:val="34"/>
    <w:pPr>
      <w:ind w:firstLine="420" w:firstLineChars="200"/>
    </w:pPr>
  </w:style>
  <w:style w:type="paragraph" w:customStyle="1" w:styleId="48">
    <w:name w:val="USE 1"/>
    <w:basedOn w:val="1"/>
    <w:qFormat/>
    <w:uiPriority w:val="0"/>
    <w:pPr>
      <w:spacing w:line="200" w:lineRule="atLeast"/>
      <w:jc w:val="left"/>
    </w:pPr>
    <w:rPr>
      <w:rFonts w:ascii="宋体" w:hAnsi="宋体"/>
      <w:b/>
      <w:sz w:val="24"/>
      <w:szCs w:val="28"/>
    </w:rPr>
  </w:style>
  <w:style w:type="paragraph" w:customStyle="1" w:styleId="49">
    <w:name w:val="Char"/>
    <w:basedOn w:val="1"/>
    <w:qFormat/>
    <w:uiPriority w:val="0"/>
    <w:pPr>
      <w:widowControl/>
      <w:spacing w:after="160" w:line="240" w:lineRule="exact"/>
      <w:jc w:val="left"/>
    </w:pPr>
  </w:style>
  <w:style w:type="paragraph" w:customStyle="1" w:styleId="50">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rPr>
  </w:style>
  <w:style w:type="paragraph" w:customStyle="1" w:styleId="51">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52">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paragraph" w:styleId="54">
    <w:name w:val="List Paragraph"/>
    <w:basedOn w:val="1"/>
    <w:qFormat/>
    <w:uiPriority w:val="34"/>
    <w:pPr>
      <w:ind w:firstLine="420" w:firstLineChars="200"/>
    </w:pPr>
  </w:style>
  <w:style w:type="paragraph" w:customStyle="1" w:styleId="55">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列表模式"/>
    <w:basedOn w:val="1"/>
    <w:qFormat/>
    <w:uiPriority w:val="0"/>
    <w:pPr>
      <w:tabs>
        <w:tab w:val="left" w:pos="960"/>
        <w:tab w:val="left" w:pos="1470"/>
      </w:tabs>
      <w:spacing w:line="360" w:lineRule="auto"/>
      <w:ind w:left="1470" w:hanging="420"/>
    </w:pPr>
    <w:rPr>
      <w:sz w:val="24"/>
      <w:szCs w:val="20"/>
    </w:rPr>
  </w:style>
  <w:style w:type="paragraph" w:customStyle="1" w:styleId="57">
    <w:name w:val="修订1"/>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7129</Words>
  <Characters>40638</Characters>
  <Lines>338</Lines>
  <Paragraphs>95</Paragraphs>
  <TotalTime>0</TotalTime>
  <ScaleCrop>false</ScaleCrop>
  <LinksUpToDate>false</LinksUpToDate>
  <CharactersWithSpaces>47672</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2021-11-19T02:46:00Z</dcterms:created>
  <dc:creator>??????????</dc:creator>
  <cp:lastModifiedBy>xieuer</cp:lastModifiedBy>
  <dcterms:modified xsi:type="dcterms:W3CDTF">2022-07-14T08:09:17Z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E94F15CA15D242348D2566ED5BE5D5E4</vt:lpwstr>
  </property>
</Properties>
</file>