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附件：2.合宗前后规设计要点对比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3827"/>
        <w:gridCol w:w="5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E2016-0019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E2020-0009</w:t>
            </w:r>
          </w:p>
        </w:tc>
        <w:tc>
          <w:tcPr>
            <w:tcW w:w="5561" w:type="dxa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合宗后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用地面积（㎡）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33660.5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7154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用地性质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工业用地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普通工业用地（M1）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普通工业用地（M1）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容积率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1.5-2.0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≤3.5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≤2.3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建筑面积（㎡）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计容建筑面积67551.29㎡，主导建筑为厂房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厂房25039㎡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总建筑面积92590.29㎡，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其中厂房92552.85㎡（含已建67513.85㎡），门卫室37.44㎡（已建）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绿化覆盖率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绿地率10-20%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——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建筑覆盖率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≤50%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——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≤50%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建筑退线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各侧≥6米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东、西、南侧一级退线不少于6米，二级退线不少于9米。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新建建筑</w:t>
            </w:r>
            <w:r>
              <w:rPr>
                <w:rFonts w:asciiTheme="minorEastAsia" w:hAnsiTheme="minorEastAsia"/>
                <w:sz w:val="24"/>
                <w:szCs w:val="24"/>
              </w:rPr>
              <w:t>一级退线不少于6米，二级退线不少于9米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建筑限高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——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应考虑与背景山体高度关系，不应遮挡山脉视线通廊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应考虑与背景山体高度关系，不应遮挡山脉视线通廊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机动车停车位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根据方案确定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——</w:t>
            </w:r>
          </w:p>
        </w:tc>
        <w:tc>
          <w:tcPr>
            <w:tcW w:w="5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185辆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本规划调剂经深汕合作区2016年第31次管委会会议审议通过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1、宗地号：E2020-0009。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2、节能减排参照《深圳市绿色建筑设计导则》执行。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3、本地块标高与周边道路标高高差±500mm，建议场平标高设计与所在片区控规、道路设计施工及周边道路情况实时对接。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4、总体布局需满足相关城市设计、规划及消防规范需求，其他规划指标根据《深圳市城市规划标准与准则》《建筑设计防火规范》（GB 20016-2014）及其它技术规范要求进行核定，未尽事宜应满足相关规范及政府部门要求。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5、应符合《深圳市海绵城市专项规划及实施方案》、《深圳市海绵城市规划要点和审查细则》等要求。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6、停车位充电桩配置比例不低于10%，剩余停车位应全部预留充电设施建设安装条件。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7、项目应当按照《深圳市装配式建筑发展专项规划（2018-2020）》的要求实施装配式建筑，满足《深圳市装配式建筑评分规则》。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8、本用地车行出入口须另行申报。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9、本项目开发建设前需开展地质灾害评估与防治，在落实地质灾害治理工程等防治措施后方可开发建设。</w:t>
            </w:r>
          </w:p>
        </w:tc>
        <w:tc>
          <w:tcPr>
            <w:tcW w:w="556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1.节能减排参照《深圳市绿色建筑设计导则》执行。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2.本地块标高与周边道路标高高差±500mm，建议场平标高设计与所在片区控规、道路设计施工及周边道路情况实时对接。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3.总体布局需满足相关城市设计、规划及消防规范需求，其他规划指标根据《深圳市城市规划标准与准则》《建筑设计防火规范》（GB 20016-2014）及其它技术规范要求进行核定，未尽事宜应满足相关规范及政府部门要求。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4.应符合《深圳市海绵城市专项规划及实施方案》、《深圳市海绵城市规划要点和审查细则》等要求。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5.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新建</w:t>
            </w:r>
            <w:r>
              <w:rPr>
                <w:rFonts w:asciiTheme="minorEastAsia" w:hAnsiTheme="minorEastAsia"/>
                <w:sz w:val="24"/>
                <w:szCs w:val="24"/>
              </w:rPr>
              <w:t>停车位充电桩配置比例不低于10%，剩余停车位应全部预留充电设施建设安装条件。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Theme="minorEastAsia" w:hAnsiTheme="minorEastAsia"/>
                <w:sz w:val="24"/>
                <w:szCs w:val="24"/>
              </w:rPr>
              <w:t>.应当按照《深圳市装配式建筑发展专项规划（2018-2020）》的要求实施装配式建筑，满足《深圳市装配式建筑评分规则》。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.本用地车行出入口须另行申报。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inorEastAsia" w:hAnsiTheme="minorEastAsia"/>
                <w:sz w:val="24"/>
                <w:szCs w:val="24"/>
              </w:rPr>
              <w:t>.本项目开发建设前需开展地质灾害评估与防治，在落实地质灾害治理工程等防治措施后方可开发建设。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.绿化覆盖率=（地面绿地+屋顶绿地）/建设用地面积*100%，其中屋顶绿地仅包含地下或半地下室屋顶绿地，不包括屋顶绿化或架空绿化。屋顶绿地按照以下系数进行折算：覆土厚度小于0.1米对应折算系数0.1，覆土厚度0.1米-0.3米对应折算系数0.2，覆土厚度0.3米-0.5米对应折算系数0.4，覆土厚度0.5米-1米对应折算系数0.6，覆土厚度1米-1.5米对应折算系数0.8，覆土厚度大于1.5米对应折算系数1.0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E"/>
    <w:rsid w:val="006520F9"/>
    <w:rsid w:val="0087100D"/>
    <w:rsid w:val="008734D0"/>
    <w:rsid w:val="009B2FBE"/>
    <w:rsid w:val="009E0B76"/>
    <w:rsid w:val="00A14D16"/>
    <w:rsid w:val="00A37408"/>
    <w:rsid w:val="00B650BF"/>
    <w:rsid w:val="0C0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223</Words>
  <Characters>1274</Characters>
  <Lines>10</Lines>
  <Paragraphs>2</Paragraphs>
  <TotalTime>5</TotalTime>
  <ScaleCrop>false</ScaleCrop>
  <LinksUpToDate>false</LinksUpToDate>
  <CharactersWithSpaces>1495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2022-07-11T01:51:00Z</dcterms:created>
  <dc:creator>李波（深汕）</dc:creator>
  <cp:lastModifiedBy>金格科技</cp:lastModifiedBy>
  <dcterms:modified xsi:type="dcterms:W3CDTF">2022-07-11T07:40:17Z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