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sz w:val="44"/>
          <w:szCs w:val="44"/>
        </w:rPr>
      </w:pPr>
      <w:r>
        <w:rPr>
          <w:sz w:val="44"/>
          <w:szCs w:val="44"/>
        </w:rPr>
        <w:t>《深圳市南山区老旧瓦房房屋安全管理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sz w:val="44"/>
          <w:szCs w:val="44"/>
        </w:rPr>
      </w:pPr>
      <w:r>
        <w:rPr>
          <w:sz w:val="44"/>
          <w:szCs w:val="44"/>
        </w:rPr>
        <w:t>办法（试行）》政策解读补充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《深圳市南山区老旧瓦房房屋安全管理办法（试行）》第九条第三款“合同约定与法律、法规规定不一致的，按照法律、法规规定执行”，该条中的“法律、法规规定”特指法律、法规强制性规定。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FE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陈烽</cp:lastModifiedBy>
  <dcterms:modified xsi:type="dcterms:W3CDTF">2022-05-26T13:02:05Z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