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jc w:val="center"/>
        <w:rPr>
          <w:rFonts w:ascii="宋体" w:hAnsi="宋体" w:cs="Arial"/>
          <w:b/>
          <w:bCs/>
          <w:sz w:val="44"/>
          <w:szCs w:val="44"/>
        </w:rPr>
      </w:pPr>
      <w:r>
        <w:rPr>
          <w:rFonts w:hint="eastAsia" w:ascii="宋体" w:hAnsi="宋体" w:cs="Arial"/>
          <w:b/>
          <w:bCs/>
          <w:sz w:val="44"/>
          <w:szCs w:val="44"/>
        </w:rPr>
        <w:t>深圳市医学科研设施建设研究课题</w:t>
      </w:r>
    </w:p>
    <w:p>
      <w:pPr>
        <w:adjustRightInd w:val="0"/>
        <w:snapToGrid w:val="0"/>
        <w:jc w:val="center"/>
        <w:rPr>
          <w:rFonts w:ascii="宋体" w:hAnsi="宋体" w:cs="Arial"/>
          <w:b/>
          <w:bCs/>
          <w:sz w:val="44"/>
          <w:szCs w:val="44"/>
        </w:rPr>
      </w:pPr>
      <w:r>
        <w:rPr>
          <w:rFonts w:hint="eastAsia" w:ascii="宋体" w:hAnsi="宋体" w:cs="Arial"/>
          <w:b/>
          <w:bCs/>
          <w:sz w:val="44"/>
          <w:szCs w:val="44"/>
        </w:rPr>
        <w:t>项目招标书</w:t>
      </w:r>
    </w:p>
    <w:p>
      <w:pPr>
        <w:spacing w:before="156" w:beforeLines="50" w:after="156" w:afterLines="50" w:line="560" w:lineRule="exact"/>
        <w:ind w:firstLine="642" w:firstLineChars="200"/>
        <w:outlineLvl w:val="0"/>
        <w:rPr>
          <w:rFonts w:ascii="黑体" w:hAnsi="黑体" w:eastAsia="黑体"/>
          <w:b/>
          <w:bCs/>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（一）项目名称：深圳市医学科研设施建设研究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（二）服务期限：自合同签订之日起6个月</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（三）项目预算：预算金额100万元以下</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二、项目内容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项目研究内容包括但不限于以下研究内容：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多种形式相结合的方式调研深圳市医疗卫生系统的科研机构平台，从学科发展、临床研究、人才团队、核心设施等多个维度综合分析我市医学科研设施布局现状与问题，结合国内外医学科学研究发展趋势</w:t>
      </w:r>
      <w:r>
        <w:rPr>
          <w:rFonts w:hint="eastAsia" w:ascii="仿宋_GB2312" w:hAnsi="仿宋_GB2312" w:eastAsia="仿宋_GB2312" w:cs="仿宋_GB2312"/>
          <w:sz w:val="32"/>
          <w:szCs w:val="32"/>
          <w:lang w:eastAsia="zh-CN"/>
        </w:rPr>
        <w:t>和各机构特色专长</w:t>
      </w:r>
      <w:r>
        <w:rPr>
          <w:rFonts w:hint="eastAsia" w:ascii="仿宋_GB2312" w:hAnsi="仿宋_GB2312" w:eastAsia="仿宋_GB2312" w:cs="仿宋_GB2312"/>
          <w:sz w:val="32"/>
          <w:szCs w:val="32"/>
        </w:rPr>
        <w:t>，按照“全市统筹、</w:t>
      </w:r>
      <w:r>
        <w:rPr>
          <w:rFonts w:hint="eastAsia" w:ascii="仿宋_GB2312" w:hAnsi="仿宋_GB2312" w:eastAsia="仿宋_GB2312" w:cs="仿宋_GB2312"/>
          <w:sz w:val="32"/>
          <w:szCs w:val="32"/>
          <w:lang w:eastAsia="zh-CN"/>
        </w:rPr>
        <w:t>特色</w:t>
      </w:r>
      <w:r>
        <w:rPr>
          <w:rFonts w:hint="eastAsia" w:ascii="仿宋_GB2312" w:hAnsi="仿宋_GB2312" w:eastAsia="仿宋_GB2312" w:cs="仿宋_GB2312"/>
          <w:sz w:val="32"/>
          <w:szCs w:val="32"/>
        </w:rPr>
        <w:t>发展”的原则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医学科研机构</w:t>
      </w:r>
      <w:r>
        <w:rPr>
          <w:rFonts w:hint="eastAsia" w:ascii="仿宋_GB2312" w:hAnsi="仿宋_GB2312" w:eastAsia="仿宋_GB2312" w:cs="仿宋_GB2312"/>
          <w:sz w:val="32"/>
          <w:szCs w:val="32"/>
          <w:lang w:eastAsia="zh-CN"/>
        </w:rPr>
        <w:t>、设施</w:t>
      </w:r>
      <w:r>
        <w:rPr>
          <w:rFonts w:hint="eastAsia" w:ascii="仿宋_GB2312" w:hAnsi="仿宋_GB2312" w:eastAsia="仿宋_GB2312" w:cs="仿宋_GB2312"/>
          <w:sz w:val="32"/>
          <w:szCs w:val="32"/>
        </w:rPr>
        <w:t>的发展布局建议</w:t>
      </w:r>
      <w:r>
        <w:rPr>
          <w:rFonts w:hint="eastAsia" w:ascii="仿宋_GB2312" w:hAnsi="仿宋_GB2312" w:eastAsia="仿宋_GB2312" w:cs="仿宋_GB2312"/>
          <w:sz w:val="32"/>
          <w:szCs w:val="32"/>
          <w:lang w:eastAsia="zh-CN"/>
        </w:rPr>
        <w:t>，实现全市医学科研差异化、特色化发展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深入调研分析列入《深圳市卫生健康事业发展“十四五”规划》高水平医学科技创新工程中的深圳医学科学院建设项目、国家级临床医学研究中心建设项目与临床研究协同创新中心建设项目建设目标与内容，理清相关建设项目的内在联系，理顺各医学科研平台、机构间的协同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医学科研协同体系发展</w:t>
      </w:r>
      <w:r>
        <w:rPr>
          <w:rFonts w:hint="eastAsia" w:ascii="仿宋_GB2312" w:hAnsi="仿宋_GB2312" w:eastAsia="仿宋_GB2312" w:cs="仿宋_GB2312"/>
          <w:sz w:val="32"/>
          <w:szCs w:val="32"/>
        </w:rPr>
        <w:t>建议。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（三）借鉴国内外典型研究型医院建设经验，按照基础研究-应用研究-临床研究的创新链条明确我市研究型医院</w:t>
      </w:r>
      <w:r>
        <w:rPr>
          <w:rFonts w:hint="eastAsia" w:ascii="仿宋_GB2312" w:hAnsi="仿宋_GB2312" w:eastAsia="仿宋_GB2312" w:cs="仿宋_GB2312"/>
          <w:sz w:val="32"/>
          <w:szCs w:val="32"/>
          <w:lang w:eastAsia="zh-CN"/>
        </w:rPr>
        <w:t>医学科研</w:t>
      </w:r>
      <w:r>
        <w:rPr>
          <w:rFonts w:hint="eastAsia" w:ascii="仿宋_GB2312" w:hAnsi="仿宋_GB2312" w:eastAsia="仿宋_GB2312" w:cs="仿宋_GB2312"/>
          <w:sz w:val="32"/>
          <w:szCs w:val="32"/>
        </w:rPr>
        <w:t>的主要建设任务，从学科建设、人才培养、创新转化、平台支撑等方面提出研究型医院医学科研建设深圳</w:t>
      </w:r>
      <w:r>
        <w:rPr>
          <w:rFonts w:hint="eastAsia" w:ascii="仿宋_GB2312" w:hAnsi="仿宋_GB2312" w:eastAsia="仿宋_GB2312" w:cs="仿宋_GB2312"/>
          <w:sz w:val="32"/>
          <w:szCs w:val="32"/>
          <w:lang w:eastAsia="zh-CN"/>
        </w:rPr>
        <w:t>标准、医学科研设施配置标准及投融资模式等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借鉴国内外临床研究与生物医药产业发展经验，结合深圳生物医药产业实际情况与发展趋势，研究医、研、产结合实施路径，加强临床研究对深圳生物医药产业发展的支撑，完善深圳医学科技协同创新体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三、项目技术要求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（一）项目成果应遵循国家颁布的有关法律、法规及政策要求，符合相关技术规范和标准。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（二）组建调研工作团队，其中具备博士研究生学历以上技能人才研究专家不少于3人。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案头研究、现场调研、集中座谈、电话访谈、视频会议、专家咨询等方式对国内外高级别生物安全实验室、深圳市已建成运行生物安全实验室、深圳市生命科学与医学科学领域研究机构与生物医药企业开展调研与需求分析研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研究成果要具有前瞻性，面向未来、视野开阔，科学规划深圳医学科学院的设施平台；调研报告具有系统性，研究成果要体系完整、内容全面、材料丰富；具有实用性，研究成果符合深圳实际，针对性和可操作性强，形成书面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汇报PPT文件</w:t>
      </w:r>
      <w:r>
        <w:rPr>
          <w:rFonts w:hint="eastAsia" w:ascii="仿宋_GB2312" w:hAnsi="仿宋_GB2312" w:eastAsia="仿宋_GB2312" w:cs="仿宋_GB2312"/>
          <w:sz w:val="32"/>
          <w:szCs w:val="32"/>
          <w:lang w:eastAsia="zh-CN"/>
        </w:rPr>
        <w:t>及相关工作指引等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四、项目成果交付要求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提交研究</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纸质版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份和</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电子版，</w:t>
      </w:r>
      <w:r>
        <w:rPr>
          <w:rFonts w:hint="eastAsia" w:ascii="仿宋_GB2312" w:hAnsi="仿宋_GB2312" w:eastAsia="仿宋_GB2312" w:cs="仿宋_GB2312"/>
          <w:sz w:val="32"/>
          <w:szCs w:val="32"/>
          <w:lang w:eastAsia="zh-CN"/>
        </w:rPr>
        <w:t>同时提交</w:t>
      </w:r>
      <w:r>
        <w:rPr>
          <w:rFonts w:hint="eastAsia" w:ascii="仿宋_GB2312" w:hAnsi="仿宋_GB2312" w:eastAsia="仿宋_GB2312" w:cs="仿宋_GB2312"/>
          <w:sz w:val="32"/>
          <w:szCs w:val="32"/>
        </w:rPr>
        <w:t>能够简明扼要介绍成果核心内容与主要结论</w:t>
      </w:r>
      <w:r>
        <w:rPr>
          <w:rFonts w:hint="eastAsia" w:ascii="仿宋_GB2312" w:hAnsi="仿宋_GB2312" w:eastAsia="仿宋_GB2312" w:cs="仿宋_GB2312"/>
          <w:sz w:val="32"/>
          <w:szCs w:val="32"/>
          <w:lang w:eastAsia="zh-CN"/>
        </w:rPr>
        <w:t>的报告简版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五、投标资格要求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（一）具有独立承担民事责任能力的在中华人民共和国境内注册的法人。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（二）投标人必须具备相关经营范围（咨询服务等），具备开展本项目研究的基本条件和研究能力。</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（三）参加本次政府采购活动前3年内在经营活动中没有重大违法记录（提供声明函，格式自拟）。</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六、投标时间、地点及联系人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（一）投标时间：2022年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日至2022年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bookmarkStart w:id="0" w:name="_GoBack"/>
      <w:bookmarkEnd w:id="0"/>
      <w:r>
        <w:rPr>
          <w:rFonts w:hint="eastAsia" w:ascii="仿宋_GB2312" w:hAnsi="仿宋_GB2312" w:eastAsia="仿宋_GB2312" w:cs="仿宋_GB2312"/>
          <w:sz w:val="32"/>
          <w:szCs w:val="32"/>
        </w:rPr>
        <w:t>日，每日上午9:00-12:00，下午2:00-5:45（节假日除外）。逾期未投标将不再受理。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（二）投标地点：深圳市福田区福中三路市民中心B区行政服务大厅2号市发展改革委卡座（可邮寄</w:t>
      </w:r>
      <w:r>
        <w:rPr>
          <w:rFonts w:hint="eastAsia" w:ascii="仿宋_GB2312" w:hAnsi="仿宋_GB2312" w:eastAsia="仿宋_GB2312" w:cs="仿宋_GB2312"/>
          <w:sz w:val="32"/>
          <w:szCs w:val="32"/>
          <w:lang w:eastAsia="zh-CN"/>
        </w:rPr>
        <w:t>（附光盘）</w:t>
      </w:r>
      <w:r>
        <w:rPr>
          <w:rFonts w:hint="eastAsia" w:ascii="仿宋_GB2312" w:hAnsi="仿宋_GB2312" w:eastAsia="仿宋_GB2312" w:cs="仿宋_GB2312"/>
          <w:sz w:val="32"/>
          <w:szCs w:val="32"/>
        </w:rPr>
        <w:t>，以送达日期为投标日期）。</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（三）联系人：陈锦斌，0755-88125130。</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七、投标文件递交内容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（一）投标单位简介、投标人营业执照及相关证照（提供加盖公章的复印件，原件备查）。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（二）法定代表人证明书及授权委托书（原件加盖公章）。</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（三）法定代表人及受委托人身份证复印件（复印件加盖公章）。</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（四）项目方案及报价单（原件加盖公章）。</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（五）投标人相关领域/项目经验证明材料（复印件加盖公章）；</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（六）投标人无重大违法记录声明函（原件加盖公章）；</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（七）投标及履约承诺函原件（格式见附件）；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（八）住所地不在深圳的投标人应提供营业场所证明原件；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（九）投标人认为有必要提供的其它材料。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投标文件一式三份，整套材料密封并加盖骑缝，封面注明投标人的名称、地址、联系人及手机号码。</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八、重要提示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投标单位有下列情况之一的，其投标将被拒绝或作无效投标处理：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（一）未在规定时间内将投标文件送达规定地点的。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（二）投标人不具备投标资格要求，或未提交相应资格证明材料。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（三）投标文件未按规定密封、签字、盖章。</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（四）投标文件无法定代表人签字或无法定代表人有效授权委托的。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（五）分项报价或投标总价高于预算金额（最高投标限价）的。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（六）同一项目出现两个及以上报价，且按规定无法确定哪个是有效报价。</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（八）所投服务在质量、技术、方案等方面没有实质性满足招标文件要求。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（九）法律、法规规定的其他情形。</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九、评标方法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（一）评标方法为综合评分法，具体评分标准和规则为：投标文件从技术、商务和价格等三个评审因素进行评分，出现总分相同的，则总分相等投标人中最低价者中标。</w:t>
      </w:r>
    </w:p>
    <w:p>
      <w:pPr>
        <w:keepNext w:val="0"/>
        <w:keepLines w:val="0"/>
        <w:pageBreakBefore w:val="0"/>
        <w:widowControl w:val="0"/>
        <w:kinsoku/>
        <w:wordWrap/>
        <w:overflowPunct/>
        <w:topLinePunct w:val="0"/>
        <w:autoSpaceDE/>
        <w:autoSpaceDN/>
        <w:bidi w:val="0"/>
        <w:spacing w:before="156" w:beforeLines="50" w:after="156" w:afterLines="50" w:line="57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（二）综合评分表</w:t>
      </w:r>
    </w:p>
    <w:tbl>
      <w:tblPr>
        <w:tblStyle w:val="43"/>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730"/>
        <w:gridCol w:w="685"/>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rPr>
            </w:pPr>
            <w:r>
              <w:rPr>
                <w:rFonts w:hint="eastAsia" w:ascii="宋体" w:hAnsi="宋体" w:cs="宋体"/>
                <w:b/>
              </w:rPr>
              <w:t>评审部分</w:t>
            </w:r>
          </w:p>
        </w:tc>
        <w:tc>
          <w:tcPr>
            <w:tcW w:w="1355" w:type="dxa"/>
            <w:vAlign w:val="center"/>
          </w:tcPr>
          <w:p>
            <w:pPr>
              <w:ind w:left="-78" w:leftChars="-37" w:right="-73" w:rightChars="-35"/>
              <w:jc w:val="center"/>
              <w:rPr>
                <w:rFonts w:ascii="宋体" w:hAnsi="宋体" w:cs="宋体"/>
                <w:b/>
              </w:rPr>
            </w:pPr>
            <w:r>
              <w:rPr>
                <w:rFonts w:hint="eastAsia" w:ascii="宋体" w:hAnsi="宋体" w:cs="宋体"/>
                <w:b/>
              </w:rPr>
              <w:t>评审因素</w:t>
            </w:r>
          </w:p>
        </w:tc>
        <w:tc>
          <w:tcPr>
            <w:tcW w:w="5730" w:type="dxa"/>
            <w:vAlign w:val="center"/>
          </w:tcPr>
          <w:p>
            <w:pPr>
              <w:ind w:left="-78" w:leftChars="-37" w:right="-73" w:rightChars="-35"/>
              <w:jc w:val="center"/>
              <w:rPr>
                <w:rFonts w:ascii="宋体" w:hAnsi="宋体" w:cs="宋体"/>
                <w:b/>
              </w:rPr>
            </w:pPr>
            <w:r>
              <w:rPr>
                <w:rFonts w:hint="eastAsia" w:ascii="宋体" w:hAnsi="宋体" w:cs="宋体"/>
                <w:b/>
              </w:rPr>
              <w:t>评分细则</w:t>
            </w:r>
          </w:p>
        </w:tc>
        <w:tc>
          <w:tcPr>
            <w:tcW w:w="685" w:type="dxa"/>
            <w:tcBorders>
              <w:right w:val="single" w:color="auto" w:sz="4" w:space="0"/>
            </w:tcBorders>
            <w:vAlign w:val="center"/>
          </w:tcPr>
          <w:p>
            <w:pPr>
              <w:ind w:left="-78" w:leftChars="-37" w:right="-73" w:rightChars="-35"/>
              <w:jc w:val="center"/>
              <w:rPr>
                <w:rFonts w:ascii="宋体" w:hAnsi="宋体" w:cs="宋体"/>
                <w:b/>
              </w:rPr>
            </w:pPr>
            <w:r>
              <w:rPr>
                <w:rFonts w:hint="eastAsia" w:ascii="宋体" w:hAnsi="宋体" w:cs="宋体"/>
                <w:b/>
              </w:rPr>
              <w:t>权重</w:t>
            </w:r>
          </w:p>
        </w:tc>
        <w:tc>
          <w:tcPr>
            <w:tcW w:w="697" w:type="dxa"/>
            <w:tcBorders>
              <w:left w:val="single" w:color="auto" w:sz="4" w:space="0"/>
            </w:tcBorders>
            <w:vAlign w:val="center"/>
          </w:tcPr>
          <w:p>
            <w:pPr>
              <w:ind w:left="-78" w:leftChars="-37" w:right="-73" w:rightChars="-35"/>
              <w:jc w:val="center"/>
              <w:rPr>
                <w:rFonts w:ascii="宋体" w:hAnsi="宋体" w:cs="宋体"/>
                <w:b/>
              </w:rPr>
            </w:pPr>
            <w:r>
              <w:rPr>
                <w:rFonts w:hint="eastAsia" w:ascii="宋体" w:hAnsi="宋体" w:cs="宋体"/>
                <w:b/>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rPr>
            </w:pPr>
            <w:r>
              <w:rPr>
                <w:rFonts w:hint="eastAsia" w:ascii="宋体" w:hAnsi="宋体" w:cs="宋体"/>
                <w:b/>
              </w:rPr>
              <w:t>一</w:t>
            </w:r>
          </w:p>
        </w:tc>
        <w:tc>
          <w:tcPr>
            <w:tcW w:w="8467" w:type="dxa"/>
            <w:gridSpan w:val="4"/>
            <w:vAlign w:val="center"/>
          </w:tcPr>
          <w:p>
            <w:pPr>
              <w:ind w:left="-78" w:leftChars="-37" w:right="-73" w:rightChars="-35"/>
              <w:jc w:val="center"/>
              <w:rPr>
                <w:rFonts w:ascii="宋体" w:hAnsi="宋体" w:cs="宋体"/>
                <w:b/>
              </w:rPr>
            </w:pPr>
            <w:r>
              <w:rPr>
                <w:rFonts w:hint="eastAsia" w:ascii="宋体" w:hAnsi="宋体"/>
                <w:b/>
              </w:rPr>
              <w:t>技术部分（合计</w:t>
            </w:r>
            <w:r>
              <w:rPr>
                <w:rFonts w:ascii="宋体" w:hAnsi="宋体"/>
                <w:b/>
              </w:rPr>
              <w:t>35</w:t>
            </w:r>
            <w:r>
              <w:rPr>
                <w:rFonts w:hint="eastAsia" w:ascii="宋体" w:hAnsi="宋体"/>
                <w:b/>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96"/>
              <w:numPr>
                <w:ilvl w:val="0"/>
                <w:numId w:val="5"/>
              </w:numPr>
              <w:ind w:firstLineChars="0"/>
              <w:jc w:val="right"/>
              <w:rPr>
                <w:rFonts w:ascii="宋体" w:hAnsi="宋体"/>
                <w:szCs w:val="21"/>
              </w:rPr>
            </w:pPr>
          </w:p>
        </w:tc>
        <w:tc>
          <w:tcPr>
            <w:tcW w:w="1355" w:type="dxa"/>
            <w:vAlign w:val="center"/>
          </w:tcPr>
          <w:p>
            <w:pPr>
              <w:jc w:val="center"/>
              <w:rPr>
                <w:rFonts w:ascii="宋体" w:hAnsi="宋体" w:cs="宋体"/>
              </w:rPr>
            </w:pPr>
            <w:r>
              <w:rPr>
                <w:rFonts w:hint="eastAsia" w:ascii="宋体" w:hAnsi="宋体"/>
              </w:rPr>
              <w:t>工作方案</w:t>
            </w:r>
          </w:p>
        </w:tc>
        <w:tc>
          <w:tcPr>
            <w:tcW w:w="5730" w:type="dxa"/>
            <w:vAlign w:val="center"/>
          </w:tcPr>
          <w:p>
            <w:pPr>
              <w:ind w:left="-78" w:leftChars="-37" w:right="-73" w:rightChars="-35"/>
              <w:jc w:val="left"/>
              <w:rPr>
                <w:rFonts w:ascii="宋体" w:hAnsi="宋体" w:cs="宋体"/>
              </w:rPr>
            </w:pPr>
            <w:r>
              <w:rPr>
                <w:rFonts w:hint="eastAsia" w:ascii="宋体" w:hAnsi="宋体" w:cs="宋体"/>
              </w:rPr>
              <w:t>根据投标人提供的项目工作方案的全面性、针对性、可操作性等进行分档评审：</w:t>
            </w:r>
          </w:p>
          <w:p>
            <w:pPr>
              <w:ind w:left="-78" w:leftChars="-37" w:right="-73" w:rightChars="-35"/>
              <w:jc w:val="left"/>
              <w:rPr>
                <w:rFonts w:ascii="宋体" w:hAnsi="宋体" w:cs="宋体"/>
              </w:rPr>
            </w:pPr>
            <w:r>
              <w:rPr>
                <w:rFonts w:hint="eastAsia" w:ascii="宋体" w:hAnsi="宋体" w:cs="宋体"/>
              </w:rPr>
              <w:t>1.评价为优，得100%；</w:t>
            </w:r>
          </w:p>
          <w:p>
            <w:pPr>
              <w:ind w:left="-78" w:leftChars="-37" w:right="-73" w:rightChars="-35"/>
              <w:jc w:val="left"/>
              <w:rPr>
                <w:rFonts w:ascii="宋体" w:hAnsi="宋体" w:cs="宋体"/>
              </w:rPr>
            </w:pPr>
            <w:r>
              <w:rPr>
                <w:rFonts w:hint="eastAsia" w:ascii="宋体" w:hAnsi="宋体" w:cs="宋体"/>
              </w:rPr>
              <w:t>2.评价为良，得70%；</w:t>
            </w:r>
          </w:p>
          <w:p>
            <w:pPr>
              <w:ind w:left="-78" w:leftChars="-37" w:right="-73" w:rightChars="-35"/>
              <w:jc w:val="left"/>
              <w:rPr>
                <w:rFonts w:ascii="宋体" w:hAnsi="宋体" w:cs="宋体"/>
              </w:rPr>
            </w:pPr>
            <w:r>
              <w:rPr>
                <w:rFonts w:hint="eastAsia" w:ascii="宋体" w:hAnsi="宋体" w:cs="宋体"/>
              </w:rPr>
              <w:t>3.评价为中，得40%；</w:t>
            </w:r>
          </w:p>
          <w:p>
            <w:pPr>
              <w:ind w:left="-78" w:leftChars="-37" w:right="-73" w:rightChars="-35"/>
              <w:jc w:val="left"/>
              <w:rPr>
                <w:rFonts w:ascii="宋体" w:hAnsi="宋体" w:cs="宋体"/>
              </w:rPr>
            </w:pPr>
            <w:r>
              <w:rPr>
                <w:rFonts w:hint="eastAsia" w:ascii="宋体" w:hAnsi="宋体" w:cs="宋体"/>
              </w:rPr>
              <w:t>4.评价为差，得10%；</w:t>
            </w:r>
          </w:p>
        </w:tc>
        <w:tc>
          <w:tcPr>
            <w:tcW w:w="685" w:type="dxa"/>
            <w:tcBorders>
              <w:right w:val="single" w:color="auto" w:sz="4" w:space="0"/>
            </w:tcBorders>
            <w:vAlign w:val="center"/>
          </w:tcPr>
          <w:p>
            <w:pPr>
              <w:ind w:left="-78" w:leftChars="-37" w:right="-73" w:rightChars="-35"/>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w:t>
            </w:r>
            <w:r>
              <w:rPr>
                <w:rFonts w:hint="eastAsia" w:ascii="宋体" w:hAnsi="宋体" w:cs="宋体"/>
                <w:color w:val="000000" w:themeColor="text1"/>
                <w14:textFill>
                  <w14:solidFill>
                    <w14:schemeClr w14:val="tx1"/>
                  </w14:solidFill>
                </w14:textFill>
              </w:rPr>
              <w:t>%</w:t>
            </w:r>
          </w:p>
        </w:tc>
        <w:tc>
          <w:tcPr>
            <w:tcW w:w="697" w:type="dxa"/>
            <w:tcBorders>
              <w:left w:val="single" w:color="auto" w:sz="4" w:space="0"/>
            </w:tcBorders>
            <w:vAlign w:val="center"/>
          </w:tcPr>
          <w:p>
            <w:pPr>
              <w:ind w:left="-78" w:leftChars="-37" w:right="-73" w:rightChars="-35"/>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96"/>
              <w:numPr>
                <w:ilvl w:val="0"/>
                <w:numId w:val="5"/>
              </w:numPr>
              <w:ind w:firstLineChars="0"/>
              <w:jc w:val="right"/>
              <w:rPr>
                <w:rFonts w:ascii="宋体" w:hAnsi="宋体"/>
                <w:szCs w:val="21"/>
              </w:rPr>
            </w:pPr>
          </w:p>
        </w:tc>
        <w:tc>
          <w:tcPr>
            <w:tcW w:w="1355" w:type="dxa"/>
            <w:vAlign w:val="center"/>
          </w:tcPr>
          <w:p>
            <w:pPr>
              <w:jc w:val="center"/>
              <w:rPr>
                <w:rFonts w:ascii="宋体" w:hAnsi="宋体"/>
              </w:rPr>
            </w:pPr>
            <w:r>
              <w:rPr>
                <w:rFonts w:hint="eastAsia" w:ascii="宋体" w:hAnsi="宋体"/>
              </w:rPr>
              <w:t>质量保障措施及方案</w:t>
            </w:r>
          </w:p>
        </w:tc>
        <w:tc>
          <w:tcPr>
            <w:tcW w:w="5730" w:type="dxa"/>
            <w:vAlign w:val="center"/>
          </w:tcPr>
          <w:p>
            <w:pPr>
              <w:ind w:left="-78" w:leftChars="-37" w:right="-73" w:rightChars="-35"/>
              <w:jc w:val="left"/>
              <w:rPr>
                <w:rFonts w:ascii="宋体" w:hAnsi="宋体" w:cs="宋体"/>
              </w:rPr>
            </w:pPr>
            <w:r>
              <w:rPr>
                <w:rFonts w:hint="eastAsia" w:ascii="宋体" w:hAnsi="宋体" w:cs="宋体"/>
              </w:rPr>
              <w:t>根据投标人对项目进度计划和人员安排、质量和进度保障措施是否合理、可行等进行分档评审：</w:t>
            </w:r>
          </w:p>
          <w:p>
            <w:pPr>
              <w:ind w:left="-78" w:leftChars="-37" w:right="-73" w:rightChars="-35"/>
              <w:jc w:val="left"/>
              <w:rPr>
                <w:rFonts w:ascii="宋体" w:hAnsi="宋体" w:cs="宋体"/>
              </w:rPr>
            </w:pPr>
            <w:r>
              <w:rPr>
                <w:rFonts w:hint="eastAsia" w:ascii="宋体" w:hAnsi="宋体" w:cs="宋体"/>
              </w:rPr>
              <w:t>1.评价为优，得100%；</w:t>
            </w:r>
          </w:p>
          <w:p>
            <w:pPr>
              <w:ind w:left="-78" w:leftChars="-37" w:right="-73" w:rightChars="-35"/>
              <w:jc w:val="left"/>
              <w:rPr>
                <w:rFonts w:ascii="宋体" w:hAnsi="宋体" w:cs="宋体"/>
              </w:rPr>
            </w:pPr>
            <w:r>
              <w:rPr>
                <w:rFonts w:hint="eastAsia" w:ascii="宋体" w:hAnsi="宋体" w:cs="宋体"/>
              </w:rPr>
              <w:t>2.评价为良，得70%；</w:t>
            </w:r>
          </w:p>
          <w:p>
            <w:pPr>
              <w:ind w:left="-78" w:leftChars="-37" w:right="-73" w:rightChars="-35"/>
              <w:jc w:val="left"/>
              <w:rPr>
                <w:rFonts w:ascii="宋体" w:hAnsi="宋体" w:cs="宋体"/>
              </w:rPr>
            </w:pPr>
            <w:r>
              <w:rPr>
                <w:rFonts w:hint="eastAsia" w:ascii="宋体" w:hAnsi="宋体" w:cs="宋体"/>
              </w:rPr>
              <w:t>3.评价为中，得40%；</w:t>
            </w:r>
          </w:p>
          <w:p>
            <w:pPr>
              <w:ind w:left="-78" w:leftChars="-37" w:right="-73" w:rightChars="-35"/>
              <w:jc w:val="left"/>
              <w:rPr>
                <w:rFonts w:ascii="宋体" w:hAnsi="宋体" w:cs="宋体"/>
              </w:rPr>
            </w:pPr>
            <w:r>
              <w:rPr>
                <w:rFonts w:hint="eastAsia" w:ascii="宋体" w:hAnsi="宋体" w:cs="宋体"/>
              </w:rPr>
              <w:t>4.评价为差，得10%；</w:t>
            </w:r>
          </w:p>
        </w:tc>
        <w:tc>
          <w:tcPr>
            <w:tcW w:w="685" w:type="dxa"/>
            <w:tcBorders>
              <w:right w:val="single" w:color="auto" w:sz="4" w:space="0"/>
            </w:tcBorders>
            <w:vAlign w:val="center"/>
          </w:tcPr>
          <w:p>
            <w:pPr>
              <w:ind w:left="-78" w:leftChars="-37" w:right="-73" w:rightChars="-35"/>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w:t>
            </w:r>
          </w:p>
        </w:tc>
        <w:tc>
          <w:tcPr>
            <w:tcW w:w="697" w:type="dxa"/>
            <w:tcBorders>
              <w:left w:val="single" w:color="auto" w:sz="4" w:space="0"/>
            </w:tcBorders>
            <w:vAlign w:val="center"/>
          </w:tcPr>
          <w:p>
            <w:pPr>
              <w:ind w:left="-78" w:leftChars="-37" w:right="-73" w:rightChars="-35"/>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96"/>
              <w:numPr>
                <w:ilvl w:val="0"/>
                <w:numId w:val="5"/>
              </w:numPr>
              <w:ind w:firstLineChars="0"/>
              <w:jc w:val="right"/>
              <w:rPr>
                <w:rFonts w:ascii="宋体" w:hAnsi="宋体"/>
                <w:szCs w:val="21"/>
              </w:rPr>
            </w:pPr>
          </w:p>
        </w:tc>
        <w:tc>
          <w:tcPr>
            <w:tcW w:w="1355" w:type="dxa"/>
            <w:vAlign w:val="center"/>
          </w:tcPr>
          <w:p>
            <w:pPr>
              <w:jc w:val="center"/>
              <w:rPr>
                <w:rFonts w:ascii="宋体" w:hAnsi="宋体"/>
              </w:rPr>
            </w:pPr>
            <w:r>
              <w:rPr>
                <w:rFonts w:hint="eastAsia" w:ascii="宋体" w:hAnsi="宋体"/>
              </w:rPr>
              <w:t>违约承诺</w:t>
            </w:r>
          </w:p>
        </w:tc>
        <w:tc>
          <w:tcPr>
            <w:tcW w:w="5730" w:type="dxa"/>
            <w:vAlign w:val="center"/>
          </w:tcPr>
          <w:p>
            <w:pPr>
              <w:ind w:left="-78" w:leftChars="-37" w:right="-73" w:rightChars="-35"/>
              <w:jc w:val="left"/>
              <w:rPr>
                <w:rFonts w:ascii="宋体" w:hAnsi="宋体" w:cs="宋体"/>
              </w:rPr>
            </w:pPr>
            <w:r>
              <w:rPr>
                <w:rFonts w:hint="eastAsia" w:ascii="宋体" w:hAnsi="宋体" w:cs="宋体"/>
              </w:rPr>
              <w:t>提供违约承诺，承诺满足招标文件要求，保证措施合理且有针对性，有具体的违约责任承诺。</w:t>
            </w:r>
          </w:p>
          <w:p>
            <w:pPr>
              <w:ind w:left="-78" w:leftChars="-37" w:right="-73" w:rightChars="-35"/>
              <w:jc w:val="left"/>
              <w:rPr>
                <w:rFonts w:ascii="宋体" w:hAnsi="宋体" w:cs="宋体"/>
              </w:rPr>
            </w:pPr>
            <w:r>
              <w:rPr>
                <w:rFonts w:hint="eastAsia" w:ascii="宋体" w:hAnsi="宋体" w:cs="宋体"/>
              </w:rPr>
              <w:t>投标人提供违约承诺得100%。要求提供承诺（格式自定）作为得分依据，未提供承诺或承诺内容不满足要求不得分。</w:t>
            </w:r>
          </w:p>
        </w:tc>
        <w:tc>
          <w:tcPr>
            <w:tcW w:w="685" w:type="dxa"/>
            <w:tcBorders>
              <w:right w:val="single" w:color="auto" w:sz="4" w:space="0"/>
            </w:tcBorders>
            <w:vAlign w:val="center"/>
          </w:tcPr>
          <w:p>
            <w:pPr>
              <w:ind w:left="-78" w:leftChars="-37" w:right="-73" w:rightChars="-35"/>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w:t>
            </w:r>
          </w:p>
        </w:tc>
        <w:tc>
          <w:tcPr>
            <w:tcW w:w="697" w:type="dxa"/>
            <w:tcBorders>
              <w:left w:val="single" w:color="auto" w:sz="4" w:space="0"/>
            </w:tcBorders>
            <w:vAlign w:val="center"/>
          </w:tcPr>
          <w:p>
            <w:pPr>
              <w:ind w:left="-78" w:leftChars="-37" w:right="-73" w:rightChars="-35"/>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rPr>
            </w:pPr>
            <w:r>
              <w:rPr>
                <w:rFonts w:hint="eastAsia" w:ascii="宋体" w:hAnsi="宋体" w:cs="宋体"/>
                <w:b/>
              </w:rPr>
              <w:t>二</w:t>
            </w:r>
          </w:p>
        </w:tc>
        <w:tc>
          <w:tcPr>
            <w:tcW w:w="8467" w:type="dxa"/>
            <w:gridSpan w:val="4"/>
            <w:vAlign w:val="center"/>
          </w:tcPr>
          <w:p>
            <w:pPr>
              <w:ind w:left="-78" w:leftChars="-37" w:right="-73" w:rightChars="-35"/>
              <w:jc w:val="center"/>
              <w:rPr>
                <w:rFonts w:ascii="宋体" w:hAnsi="宋体" w:cs="宋体"/>
                <w:b/>
              </w:rPr>
            </w:pPr>
            <w:r>
              <w:rPr>
                <w:rFonts w:hint="eastAsia" w:ascii="宋体" w:hAnsi="宋体" w:cs="宋体"/>
                <w:b/>
              </w:rPr>
              <w:t>商务部分</w:t>
            </w:r>
            <w:r>
              <w:rPr>
                <w:rFonts w:hint="eastAsia" w:ascii="宋体" w:hAnsi="宋体"/>
                <w:b/>
              </w:rPr>
              <w:t>（合计</w:t>
            </w:r>
            <w:r>
              <w:rPr>
                <w:rFonts w:ascii="宋体" w:hAnsi="宋体"/>
                <w:b/>
              </w:rPr>
              <w:t>55</w:t>
            </w:r>
            <w:r>
              <w:rPr>
                <w:rFonts w:hint="eastAsia" w:ascii="宋体" w:hAnsi="宋体"/>
                <w:b/>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96"/>
              <w:numPr>
                <w:ilvl w:val="0"/>
                <w:numId w:val="6"/>
              </w:numPr>
              <w:ind w:firstLineChars="0"/>
              <w:jc w:val="center"/>
              <w:rPr>
                <w:rFonts w:ascii="宋体" w:hAnsi="宋体"/>
                <w:szCs w:val="21"/>
              </w:rPr>
            </w:pPr>
          </w:p>
        </w:tc>
        <w:tc>
          <w:tcPr>
            <w:tcW w:w="1355" w:type="dxa"/>
            <w:vAlign w:val="center"/>
          </w:tcPr>
          <w:p>
            <w:pPr>
              <w:jc w:val="center"/>
              <w:rPr>
                <w:rFonts w:ascii="宋体" w:hAnsi="宋体"/>
              </w:rPr>
            </w:pPr>
            <w:r>
              <w:rPr>
                <w:rFonts w:hint="eastAsia" w:ascii="宋体" w:hAnsi="宋体"/>
              </w:rPr>
              <w:t>投标人经验</w:t>
            </w:r>
          </w:p>
        </w:tc>
        <w:tc>
          <w:tcPr>
            <w:tcW w:w="5730" w:type="dxa"/>
            <w:vAlign w:val="center"/>
          </w:tcPr>
          <w:p>
            <w:pPr>
              <w:jc w:val="left"/>
              <w:rPr>
                <w:rFonts w:ascii="宋体" w:hAnsi="宋体"/>
                <w:b/>
                <w:bCs/>
              </w:rPr>
            </w:pPr>
            <w:r>
              <w:rPr>
                <w:rFonts w:hint="eastAsia" w:ascii="宋体" w:hAnsi="宋体"/>
                <w:b/>
                <w:bCs/>
              </w:rPr>
              <w:t>1、评分内容：</w:t>
            </w:r>
          </w:p>
          <w:p>
            <w:pPr>
              <w:jc w:val="left"/>
              <w:rPr>
                <w:rFonts w:ascii="宋体" w:hAnsi="宋体"/>
              </w:rPr>
            </w:pPr>
            <w:r>
              <w:rPr>
                <w:rFonts w:hint="eastAsia" w:ascii="宋体" w:hAnsi="宋体"/>
              </w:rPr>
              <w:t>牵头承担过国家、省或市级政策研究、规划编制、制度评估等政府课题的，按国家级每项20%、省级每项15%、市级每项10%进行计分，最高得分不超过100%。</w:t>
            </w:r>
            <w:r>
              <w:rPr>
                <w:rFonts w:ascii="宋体" w:hAnsi="宋体"/>
              </w:rPr>
              <w:t xml:space="preserve"> </w:t>
            </w:r>
          </w:p>
          <w:p>
            <w:pPr>
              <w:jc w:val="left"/>
              <w:rPr>
                <w:rFonts w:ascii="宋体" w:hAnsi="宋体"/>
                <w:b/>
                <w:bCs/>
              </w:rPr>
            </w:pPr>
            <w:r>
              <w:rPr>
                <w:rFonts w:hint="eastAsia" w:ascii="宋体" w:hAnsi="宋体"/>
                <w:b/>
                <w:bCs/>
              </w:rPr>
              <w:t>2、评分依据：</w:t>
            </w:r>
          </w:p>
          <w:p>
            <w:pPr>
              <w:jc w:val="left"/>
              <w:rPr>
                <w:rFonts w:ascii="宋体" w:hAnsi="宋体"/>
              </w:rPr>
            </w:pPr>
            <w:r>
              <w:rPr>
                <w:rFonts w:hint="eastAsia" w:ascii="宋体" w:hAnsi="宋体"/>
              </w:rPr>
              <w:t>（1）要求提供中标通知书、合同关键页或其他证明文件。</w:t>
            </w:r>
          </w:p>
          <w:p>
            <w:pPr>
              <w:jc w:val="left"/>
              <w:rPr>
                <w:rFonts w:ascii="宋体" w:hAnsi="宋体" w:cs="宋体"/>
              </w:rPr>
            </w:pPr>
            <w:r>
              <w:rPr>
                <w:rFonts w:hint="eastAsia" w:ascii="宋体" w:hAnsi="宋体"/>
              </w:rPr>
              <w:t>（2）以上资料均要求提供扫描件（或官方网站截图）。评分中出现无证明资料或专家无法凭所提供资料判断是否得分的情况，一律作不得分处理。</w:t>
            </w:r>
          </w:p>
        </w:tc>
        <w:tc>
          <w:tcPr>
            <w:tcW w:w="685" w:type="dxa"/>
            <w:tcBorders>
              <w:right w:val="single" w:color="auto" w:sz="4" w:space="0"/>
            </w:tcBorders>
            <w:vAlign w:val="center"/>
          </w:tcPr>
          <w:p>
            <w:pPr>
              <w:jc w:val="cente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20</w:t>
            </w:r>
            <w:r>
              <w:rPr>
                <w:rFonts w:hint="eastAsia" w:ascii="宋体" w:hAnsi="宋体" w:cs="宋体"/>
                <w:color w:val="000000" w:themeColor="text1"/>
                <w:kern w:val="0"/>
                <w14:textFill>
                  <w14:solidFill>
                    <w14:schemeClr w14:val="tx1"/>
                  </w14:solidFill>
                </w14:textFill>
              </w:rPr>
              <w:t>%</w:t>
            </w:r>
          </w:p>
        </w:tc>
        <w:tc>
          <w:tcPr>
            <w:tcW w:w="697" w:type="dxa"/>
            <w:tcBorders>
              <w:left w:val="single" w:color="auto" w:sz="4" w:space="0"/>
            </w:tcBorders>
            <w:vAlign w:val="center"/>
          </w:tcPr>
          <w:p>
            <w:pPr>
              <w:jc w:val="cente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20</w:t>
            </w:r>
            <w:r>
              <w:rPr>
                <w:rFonts w:hint="eastAsia" w:ascii="宋体" w:hAnsi="宋体" w:cs="宋体"/>
                <w:color w:val="000000" w:themeColor="text1"/>
                <w:kern w:val="0"/>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96"/>
              <w:numPr>
                <w:ilvl w:val="0"/>
                <w:numId w:val="6"/>
              </w:numPr>
              <w:ind w:firstLineChars="0"/>
              <w:jc w:val="center"/>
              <w:rPr>
                <w:rFonts w:ascii="宋体" w:hAnsi="宋体"/>
                <w:szCs w:val="21"/>
              </w:rPr>
            </w:pPr>
          </w:p>
        </w:tc>
        <w:tc>
          <w:tcPr>
            <w:tcW w:w="1355" w:type="dxa"/>
            <w:vAlign w:val="center"/>
          </w:tcPr>
          <w:p>
            <w:pPr>
              <w:jc w:val="center"/>
              <w:rPr>
                <w:rFonts w:ascii="宋体" w:cs="宋体"/>
              </w:rPr>
            </w:pPr>
            <w:r>
              <w:rPr>
                <w:rFonts w:hint="eastAsia" w:ascii="宋体" w:cs="宋体"/>
              </w:rPr>
              <w:t>投标人获奖情况</w:t>
            </w:r>
          </w:p>
        </w:tc>
        <w:tc>
          <w:tcPr>
            <w:tcW w:w="5730" w:type="dxa"/>
            <w:vAlign w:val="center"/>
          </w:tcPr>
          <w:p>
            <w:pPr>
              <w:widowControl/>
              <w:jc w:val="left"/>
              <w:rPr>
                <w:rFonts w:ascii="宋体" w:hAnsi="宋体" w:cs="宋体"/>
                <w:b/>
                <w:kern w:val="0"/>
                <w:sz w:val="22"/>
              </w:rPr>
            </w:pPr>
            <w:r>
              <w:rPr>
                <w:rFonts w:hint="eastAsia" w:ascii="宋体" w:hAnsi="宋体" w:cs="宋体"/>
                <w:b/>
                <w:kern w:val="0"/>
                <w:sz w:val="22"/>
              </w:rPr>
              <w:t>1</w:t>
            </w:r>
            <w:r>
              <w:rPr>
                <w:rFonts w:ascii="宋体" w:hAnsi="宋体" w:cs="宋体"/>
                <w:b/>
                <w:kern w:val="0"/>
                <w:sz w:val="22"/>
              </w:rPr>
              <w:t>.</w:t>
            </w:r>
            <w:r>
              <w:rPr>
                <w:rFonts w:hint="eastAsia" w:ascii="宋体" w:hAnsi="宋体" w:cs="宋体"/>
                <w:b/>
                <w:kern w:val="0"/>
                <w:sz w:val="22"/>
              </w:rPr>
              <w:t>评分内容：</w:t>
            </w:r>
          </w:p>
          <w:p>
            <w:pPr>
              <w:widowControl/>
              <w:jc w:val="left"/>
              <w:rPr>
                <w:rFonts w:ascii="宋体" w:hAnsi="宋体" w:cs="宋体"/>
                <w:kern w:val="0"/>
                <w:sz w:val="22"/>
              </w:rPr>
            </w:pPr>
            <w:r>
              <w:rPr>
                <w:rFonts w:hint="eastAsia" w:ascii="宋体" w:hAnsi="宋体" w:cs="宋体"/>
                <w:kern w:val="0"/>
                <w:sz w:val="22"/>
              </w:rPr>
              <w:t>投标人承担的研究课题，获得市级及以上级别的奖励，或作为市级及以上级别政策文件进行公开发布的，每提供1个得50%，最高得分不超过100%。</w:t>
            </w:r>
          </w:p>
          <w:p>
            <w:pPr>
              <w:widowControl/>
              <w:jc w:val="left"/>
              <w:rPr>
                <w:rFonts w:ascii="宋体" w:hAnsi="宋体" w:cs="宋体"/>
                <w:b/>
                <w:kern w:val="0"/>
                <w:sz w:val="22"/>
              </w:rPr>
            </w:pPr>
            <w:r>
              <w:rPr>
                <w:rFonts w:hint="eastAsia" w:ascii="宋体" w:hAnsi="宋体" w:cs="宋体"/>
                <w:b/>
                <w:kern w:val="0"/>
                <w:sz w:val="22"/>
              </w:rPr>
              <w:t>2</w:t>
            </w:r>
            <w:r>
              <w:rPr>
                <w:rFonts w:ascii="宋体" w:hAnsi="宋体" w:cs="宋体"/>
                <w:b/>
                <w:kern w:val="0"/>
                <w:sz w:val="22"/>
              </w:rPr>
              <w:t>.</w:t>
            </w:r>
            <w:r>
              <w:rPr>
                <w:rFonts w:hint="eastAsia" w:ascii="宋体" w:hAnsi="宋体" w:cs="宋体"/>
                <w:b/>
                <w:kern w:val="0"/>
                <w:sz w:val="22"/>
              </w:rPr>
              <w:t>评分依据：</w:t>
            </w:r>
          </w:p>
          <w:p>
            <w:pPr>
              <w:widowControl/>
              <w:jc w:val="left"/>
              <w:rPr>
                <w:rFonts w:ascii="宋体" w:hAnsi="宋体" w:cs="宋体"/>
                <w:kern w:val="0"/>
                <w:sz w:val="22"/>
              </w:rPr>
            </w:pPr>
            <w:r>
              <w:rPr>
                <w:rFonts w:hint="eastAsia" w:ascii="宋体" w:hAnsi="宋体" w:cs="宋体"/>
                <w:kern w:val="0"/>
                <w:sz w:val="22"/>
              </w:rPr>
              <w:t>（1）要求提供相关证明文件。</w:t>
            </w:r>
          </w:p>
          <w:p>
            <w:pPr>
              <w:jc w:val="left"/>
              <w:rPr>
                <w:rFonts w:ascii="宋体" w:hAnsi="宋体"/>
              </w:rPr>
            </w:pPr>
            <w:r>
              <w:rPr>
                <w:rFonts w:hint="eastAsia" w:ascii="宋体" w:hAnsi="宋体" w:cs="宋体"/>
                <w:kern w:val="0"/>
                <w:sz w:val="22"/>
              </w:rPr>
              <w:t>（2）以上资料均要求提供扫描件（或官方网站截图），原件备查。评分中出现无证明资料或专家无法凭所提供资料判断是否得分的情况，一律作不得分处理。</w:t>
            </w:r>
          </w:p>
        </w:tc>
        <w:tc>
          <w:tcPr>
            <w:tcW w:w="685" w:type="dxa"/>
            <w:tcBorders>
              <w:right w:val="single" w:color="auto" w:sz="4" w:space="0"/>
            </w:tcBorders>
            <w:vAlign w:val="center"/>
          </w:tcPr>
          <w:p>
            <w:pPr>
              <w:ind w:left="-78" w:leftChars="-37" w:right="-73" w:rightChars="-35"/>
              <w:jc w:val="center"/>
              <w:rPr>
                <w:rFonts w:ascii="宋体" w:hAnsi="宋体"/>
              </w:rPr>
            </w:pPr>
            <w:r>
              <w:rPr>
                <w:rFonts w:hint="eastAsia" w:ascii="宋体" w:hAnsi="宋体"/>
              </w:rPr>
              <w:t>1</w:t>
            </w:r>
            <w:r>
              <w:rPr>
                <w:rFonts w:ascii="宋体" w:hAnsi="宋体"/>
              </w:rPr>
              <w:t>0%</w:t>
            </w:r>
          </w:p>
        </w:tc>
        <w:tc>
          <w:tcPr>
            <w:tcW w:w="697"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rPr>
              <w:t>1</w:t>
            </w:r>
            <w:r>
              <w:rPr>
                <w:rFonts w:ascii="宋体" w:hAnsi="宋体" w:cs="宋体"/>
              </w:rPr>
              <w:t>0</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96"/>
              <w:numPr>
                <w:ilvl w:val="0"/>
                <w:numId w:val="6"/>
              </w:numPr>
              <w:ind w:firstLineChars="0"/>
              <w:jc w:val="center"/>
              <w:rPr>
                <w:rFonts w:ascii="宋体" w:hAnsi="宋体"/>
                <w:szCs w:val="21"/>
              </w:rPr>
            </w:pPr>
          </w:p>
        </w:tc>
        <w:tc>
          <w:tcPr>
            <w:tcW w:w="1355" w:type="dxa"/>
            <w:vAlign w:val="center"/>
          </w:tcPr>
          <w:p>
            <w:pPr>
              <w:jc w:val="center"/>
              <w:rPr>
                <w:rFonts w:ascii="宋体" w:cs="宋体"/>
              </w:rPr>
            </w:pPr>
            <w:r>
              <w:rPr>
                <w:rFonts w:hint="eastAsia" w:ascii="宋体" w:cs="宋体"/>
              </w:rPr>
              <w:t>拟安排的项目负责人情况（仅限一人）</w:t>
            </w:r>
          </w:p>
        </w:tc>
        <w:tc>
          <w:tcPr>
            <w:tcW w:w="5730" w:type="dxa"/>
            <w:vAlign w:val="center"/>
          </w:tcPr>
          <w:p>
            <w:pPr>
              <w:jc w:val="left"/>
              <w:rPr>
                <w:rFonts w:ascii="宋体" w:hAnsi="宋体"/>
                <w:b/>
                <w:bCs/>
              </w:rPr>
            </w:pPr>
            <w:r>
              <w:rPr>
                <w:rFonts w:hint="eastAsia" w:ascii="宋体" w:hAnsi="宋体"/>
                <w:b/>
                <w:bCs/>
              </w:rPr>
              <w:t>1.评分内容：</w:t>
            </w:r>
          </w:p>
          <w:p>
            <w:pPr>
              <w:jc w:val="left"/>
              <w:rPr>
                <w:rFonts w:ascii="宋体" w:hAnsi="宋体"/>
              </w:rPr>
            </w:pPr>
            <w:r>
              <w:rPr>
                <w:rFonts w:hint="eastAsia" w:ascii="宋体" w:hAnsi="宋体"/>
              </w:rPr>
              <w:t>（1）项目负责人具有高级职称或博士学位，得50%，具有中级职称或硕士学位，得25%；</w:t>
            </w:r>
          </w:p>
          <w:p>
            <w:pPr>
              <w:jc w:val="left"/>
              <w:rPr>
                <w:rFonts w:ascii="宋体" w:hAnsi="宋体"/>
              </w:rPr>
            </w:pPr>
            <w:r>
              <w:rPr>
                <w:rFonts w:hint="eastAsia" w:ascii="宋体" w:hAnsi="宋体"/>
              </w:rPr>
              <w:t>（2）项目负责人主持或参与过市级及以上医疗卫生与医学科研设施领域的政策研究、资源调研、制度评估等政府课题的，每提供1个得25%；</w:t>
            </w:r>
          </w:p>
          <w:p>
            <w:pPr>
              <w:jc w:val="left"/>
              <w:rPr>
                <w:rFonts w:ascii="宋体" w:hAnsi="宋体"/>
              </w:rPr>
            </w:pPr>
            <w:r>
              <w:rPr>
                <w:rFonts w:hint="eastAsia" w:ascii="宋体" w:hAnsi="宋体"/>
              </w:rPr>
              <w:t>以上</w:t>
            </w:r>
            <w:r>
              <w:rPr>
                <w:rFonts w:ascii="宋体" w:hAnsi="宋体"/>
              </w:rPr>
              <w:t>2</w:t>
            </w:r>
            <w:r>
              <w:rPr>
                <w:rFonts w:hint="eastAsia" w:ascii="宋体" w:hAnsi="宋体"/>
              </w:rPr>
              <w:t>项合计最高得分不超过100%。</w:t>
            </w:r>
          </w:p>
          <w:p>
            <w:pPr>
              <w:jc w:val="left"/>
              <w:rPr>
                <w:rFonts w:ascii="宋体" w:hAnsi="宋体"/>
                <w:b/>
                <w:bCs/>
              </w:rPr>
            </w:pPr>
            <w:r>
              <w:rPr>
                <w:rFonts w:hint="eastAsia" w:ascii="宋体" w:hAnsi="宋体"/>
                <w:b/>
                <w:bCs/>
              </w:rPr>
              <w:t>2.评分依据：</w:t>
            </w:r>
          </w:p>
          <w:p>
            <w:pPr>
              <w:jc w:val="left"/>
              <w:rPr>
                <w:rFonts w:ascii="宋体" w:hAnsi="宋体"/>
              </w:rPr>
            </w:pPr>
            <w:r>
              <w:rPr>
                <w:rFonts w:hint="eastAsia" w:ascii="宋体" w:hAnsi="宋体"/>
              </w:rPr>
              <w:t>（1）要求提供通过投标人购买的项目负责人近三个月社保，学位或职称文件，业绩合同关键页或其他证明文件（需要体现人员信息，若无人员信息，须提供工作单位出具的证明材料）。</w:t>
            </w:r>
          </w:p>
          <w:p>
            <w:pPr>
              <w:jc w:val="left"/>
              <w:rPr>
                <w:rFonts w:ascii="宋体" w:hAnsi="宋体"/>
              </w:rPr>
            </w:pPr>
            <w:r>
              <w:rPr>
                <w:rFonts w:hint="eastAsia" w:ascii="宋体" w:hAnsi="宋体"/>
              </w:rPr>
              <w:t>（2）以上资料均要求提供扫描件（或官方网站截图），原件备查。评分中出现无证明资料或专家无法凭所提供资料判断是否得分的情况，一律作不得分处理。</w:t>
            </w:r>
          </w:p>
        </w:tc>
        <w:tc>
          <w:tcPr>
            <w:tcW w:w="685" w:type="dxa"/>
            <w:tcBorders>
              <w:right w:val="single" w:color="auto" w:sz="4" w:space="0"/>
            </w:tcBorders>
            <w:vAlign w:val="center"/>
          </w:tcPr>
          <w:p>
            <w:pPr>
              <w:ind w:left="-78" w:leftChars="-37" w:right="-73" w:rightChars="-35"/>
              <w:jc w:val="center"/>
              <w:rPr>
                <w:rFonts w:ascii="宋体" w:hAnsi="宋体"/>
              </w:rPr>
            </w:pPr>
            <w:r>
              <w:rPr>
                <w:rFonts w:hint="eastAsia" w:ascii="宋体" w:hAnsi="宋体"/>
              </w:rPr>
              <w:t>1</w:t>
            </w:r>
            <w:r>
              <w:rPr>
                <w:rFonts w:ascii="宋体" w:hAnsi="宋体"/>
              </w:rPr>
              <w:t>0%</w:t>
            </w:r>
          </w:p>
        </w:tc>
        <w:tc>
          <w:tcPr>
            <w:tcW w:w="697"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rPr>
              <w:t>1</w:t>
            </w:r>
            <w:r>
              <w:rPr>
                <w:rFonts w:ascii="宋体" w:hAnsi="宋体" w:cs="宋体"/>
              </w:rPr>
              <w:t>0</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96"/>
              <w:numPr>
                <w:ilvl w:val="0"/>
                <w:numId w:val="6"/>
              </w:numPr>
              <w:ind w:firstLineChars="0"/>
              <w:jc w:val="center"/>
              <w:rPr>
                <w:rFonts w:ascii="宋体" w:hAnsi="宋体"/>
                <w:szCs w:val="21"/>
              </w:rPr>
            </w:pPr>
          </w:p>
        </w:tc>
        <w:tc>
          <w:tcPr>
            <w:tcW w:w="1355" w:type="dxa"/>
            <w:vAlign w:val="center"/>
          </w:tcPr>
          <w:p>
            <w:pPr>
              <w:jc w:val="center"/>
              <w:rPr>
                <w:rFonts w:ascii="宋体" w:cs="宋体"/>
              </w:rPr>
            </w:pPr>
            <w:r>
              <w:rPr>
                <w:rFonts w:hint="eastAsia" w:ascii="宋体" w:cs="宋体"/>
              </w:rPr>
              <w:t>拟安排的项目主要团队成员（主要技术人员）情况（项目负责人除外）</w:t>
            </w:r>
          </w:p>
        </w:tc>
        <w:tc>
          <w:tcPr>
            <w:tcW w:w="5730" w:type="dxa"/>
            <w:vAlign w:val="center"/>
          </w:tcPr>
          <w:p>
            <w:pPr>
              <w:widowControl/>
              <w:jc w:val="left"/>
              <w:rPr>
                <w:rFonts w:ascii="宋体" w:hAnsi="宋体" w:cs="宋体"/>
                <w:b/>
                <w:kern w:val="0"/>
                <w:sz w:val="22"/>
              </w:rPr>
            </w:pPr>
            <w:r>
              <w:rPr>
                <w:rFonts w:hint="eastAsia" w:ascii="宋体" w:hAnsi="宋体" w:cs="宋体"/>
                <w:b/>
                <w:kern w:val="0"/>
                <w:sz w:val="22"/>
              </w:rPr>
              <w:t>1</w:t>
            </w:r>
            <w:r>
              <w:rPr>
                <w:rFonts w:ascii="宋体" w:hAnsi="宋体" w:cs="宋体"/>
                <w:b/>
                <w:kern w:val="0"/>
                <w:sz w:val="22"/>
              </w:rPr>
              <w:t>.</w:t>
            </w:r>
            <w:r>
              <w:rPr>
                <w:rFonts w:hint="eastAsia" w:ascii="宋体" w:hAnsi="宋体" w:cs="宋体"/>
                <w:b/>
                <w:kern w:val="0"/>
                <w:sz w:val="22"/>
              </w:rPr>
              <w:t>评分内容：</w:t>
            </w:r>
          </w:p>
          <w:p>
            <w:pPr>
              <w:widowControl/>
              <w:jc w:val="left"/>
              <w:rPr>
                <w:rFonts w:ascii="宋体" w:hAnsi="宋体" w:cs="宋体"/>
                <w:kern w:val="0"/>
                <w:sz w:val="22"/>
              </w:rPr>
            </w:pPr>
            <w:r>
              <w:rPr>
                <w:rFonts w:hint="eastAsia" w:ascii="宋体" w:hAnsi="宋体" w:cs="宋体"/>
                <w:kern w:val="0"/>
                <w:sz w:val="22"/>
              </w:rPr>
              <w:t>项目团队中每提供1位有高级职称或博士学位人员得</w:t>
            </w:r>
            <w:r>
              <w:rPr>
                <w:rFonts w:ascii="宋体" w:hAnsi="宋体" w:cs="宋体"/>
                <w:kern w:val="0"/>
                <w:sz w:val="22"/>
              </w:rPr>
              <w:t>5</w:t>
            </w:r>
            <w:r>
              <w:rPr>
                <w:rFonts w:hint="eastAsia" w:ascii="宋体" w:hAnsi="宋体" w:cs="宋体"/>
                <w:kern w:val="0"/>
                <w:sz w:val="22"/>
              </w:rPr>
              <w:t>0%，每提供1位有中级职称或硕士学位人员得2</w:t>
            </w:r>
            <w:r>
              <w:rPr>
                <w:rFonts w:ascii="宋体" w:hAnsi="宋体" w:cs="宋体"/>
                <w:kern w:val="0"/>
                <w:sz w:val="22"/>
              </w:rPr>
              <w:t>5</w:t>
            </w:r>
            <w:r>
              <w:rPr>
                <w:rFonts w:hint="eastAsia" w:ascii="宋体" w:hAnsi="宋体" w:cs="宋体"/>
                <w:kern w:val="0"/>
                <w:sz w:val="22"/>
              </w:rPr>
              <w:t>%，最高得分不超过100%。</w:t>
            </w:r>
          </w:p>
          <w:p>
            <w:pPr>
              <w:widowControl/>
              <w:jc w:val="left"/>
              <w:rPr>
                <w:rFonts w:ascii="宋体" w:hAnsi="宋体" w:cs="宋体"/>
                <w:b/>
                <w:kern w:val="0"/>
                <w:sz w:val="22"/>
              </w:rPr>
            </w:pPr>
            <w:r>
              <w:rPr>
                <w:rFonts w:hint="eastAsia" w:ascii="宋体" w:hAnsi="宋体" w:cs="宋体"/>
                <w:b/>
                <w:kern w:val="0"/>
                <w:sz w:val="22"/>
              </w:rPr>
              <w:t>2</w:t>
            </w:r>
            <w:r>
              <w:rPr>
                <w:rFonts w:ascii="宋体" w:hAnsi="宋体" w:cs="宋体"/>
                <w:b/>
                <w:kern w:val="0"/>
                <w:sz w:val="22"/>
              </w:rPr>
              <w:t>.</w:t>
            </w:r>
            <w:r>
              <w:rPr>
                <w:rFonts w:hint="eastAsia" w:ascii="宋体" w:hAnsi="宋体" w:cs="宋体"/>
                <w:b/>
                <w:kern w:val="0"/>
                <w:sz w:val="22"/>
              </w:rPr>
              <w:t>评分依据：</w:t>
            </w:r>
          </w:p>
          <w:p>
            <w:pPr>
              <w:widowControl/>
              <w:jc w:val="left"/>
              <w:rPr>
                <w:rFonts w:ascii="宋体" w:hAnsi="宋体" w:cs="宋体"/>
                <w:kern w:val="0"/>
                <w:sz w:val="22"/>
              </w:rPr>
            </w:pPr>
            <w:r>
              <w:rPr>
                <w:rFonts w:hint="eastAsia" w:ascii="宋体" w:hAnsi="宋体" w:cs="宋体"/>
                <w:kern w:val="0"/>
                <w:sz w:val="22"/>
              </w:rPr>
              <w:t>（1）要求提供通过投标人购买的团队成员近三个月社保，学位或职称文件等。</w:t>
            </w:r>
          </w:p>
          <w:p>
            <w:pPr>
              <w:jc w:val="left"/>
              <w:rPr>
                <w:rFonts w:ascii="宋体" w:hAnsi="宋体"/>
              </w:rPr>
            </w:pPr>
            <w:r>
              <w:rPr>
                <w:rFonts w:hint="eastAsia" w:ascii="宋体" w:hAnsi="宋体" w:cs="宋体"/>
                <w:kern w:val="0"/>
                <w:sz w:val="22"/>
              </w:rPr>
              <w:t>（2）以上资料均要求提供扫描件（或官方网站截图），原件备查。评分中出现无证明资料或专家无法凭所提供资料判断是否得分的情况，一律作不得分处理。</w:t>
            </w:r>
          </w:p>
        </w:tc>
        <w:tc>
          <w:tcPr>
            <w:tcW w:w="685" w:type="dxa"/>
            <w:tcBorders>
              <w:right w:val="single" w:color="auto" w:sz="4" w:space="0"/>
            </w:tcBorders>
            <w:vAlign w:val="center"/>
          </w:tcPr>
          <w:p>
            <w:pPr>
              <w:ind w:left="-78" w:leftChars="-37" w:right="-73" w:rightChars="-35"/>
              <w:jc w:val="center"/>
              <w:rPr>
                <w:rFonts w:ascii="宋体" w:hAnsi="宋体"/>
              </w:rPr>
            </w:pPr>
            <w:r>
              <w:rPr>
                <w:rFonts w:hint="eastAsia" w:ascii="宋体" w:hAnsi="宋体"/>
              </w:rPr>
              <w:t>1</w:t>
            </w:r>
            <w:r>
              <w:rPr>
                <w:rFonts w:ascii="宋体" w:hAnsi="宋体"/>
              </w:rPr>
              <w:t>5%</w:t>
            </w:r>
          </w:p>
        </w:tc>
        <w:tc>
          <w:tcPr>
            <w:tcW w:w="697"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rPr>
              <w:t>1</w:t>
            </w:r>
            <w:r>
              <w:rPr>
                <w:rFonts w:ascii="宋体" w:hAnsi="宋体" w:cs="宋体"/>
              </w:rPr>
              <w:t>5</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rPr>
            </w:pPr>
            <w:r>
              <w:rPr>
                <w:rFonts w:hint="eastAsia" w:ascii="宋体" w:hAnsi="宋体"/>
                <w:b/>
              </w:rPr>
              <w:t>三</w:t>
            </w:r>
          </w:p>
        </w:tc>
        <w:tc>
          <w:tcPr>
            <w:tcW w:w="8467" w:type="dxa"/>
            <w:gridSpan w:val="4"/>
            <w:vAlign w:val="center"/>
          </w:tcPr>
          <w:p>
            <w:pPr>
              <w:ind w:left="-78" w:leftChars="-37" w:right="-73" w:rightChars="-35"/>
              <w:jc w:val="center"/>
              <w:rPr>
                <w:rFonts w:ascii="宋体" w:hAnsi="宋体" w:cs="宋体"/>
                <w:b/>
              </w:rPr>
            </w:pPr>
            <w:r>
              <w:rPr>
                <w:rFonts w:hint="eastAsia" w:ascii="宋体" w:hAnsi="宋体"/>
                <w:b/>
              </w:rPr>
              <w:t>价格部分（合计10分）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jc w:val="center"/>
              <w:rPr>
                <w:rFonts w:ascii="宋体" w:hAnsi="宋体"/>
              </w:rPr>
            </w:pPr>
            <w:r>
              <w:rPr>
                <w:rFonts w:hint="eastAsia" w:ascii="宋体" w:hAnsi="宋体"/>
              </w:rPr>
              <w:t>1</w:t>
            </w:r>
          </w:p>
        </w:tc>
        <w:tc>
          <w:tcPr>
            <w:tcW w:w="1355" w:type="dxa"/>
            <w:vAlign w:val="center"/>
          </w:tcPr>
          <w:p>
            <w:pPr>
              <w:jc w:val="center"/>
              <w:rPr>
                <w:rFonts w:ascii="宋体" w:hAnsi="宋体"/>
              </w:rPr>
            </w:pPr>
            <w:r>
              <w:rPr>
                <w:rFonts w:hint="eastAsia" w:ascii="宋体" w:hAnsi="宋体"/>
              </w:rPr>
              <w:t>投标报价</w:t>
            </w:r>
          </w:p>
        </w:tc>
        <w:tc>
          <w:tcPr>
            <w:tcW w:w="5730" w:type="dxa"/>
            <w:vAlign w:val="center"/>
          </w:tcPr>
          <w:p>
            <w:pPr>
              <w:autoSpaceDE w:val="0"/>
              <w:autoSpaceDN w:val="0"/>
              <w:adjustRightInd w:val="0"/>
              <w:snapToGrid w:val="0"/>
              <w:rPr>
                <w:rFonts w:ascii="宋体" w:hAnsi="宋体" w:cs="宋体"/>
                <w:kern w:val="0"/>
              </w:rPr>
            </w:pPr>
            <w:r>
              <w:rPr>
                <w:rFonts w:ascii="宋体" w:hAnsi="宋体" w:cs="宋体"/>
                <w:kern w:val="0"/>
              </w:rPr>
              <w:t>价格分</w:t>
            </w:r>
            <w:r>
              <w:rPr>
                <w:rFonts w:hint="eastAsia" w:ascii="宋体" w:hAnsi="宋体" w:cs="宋体"/>
                <w:kern w:val="0"/>
              </w:rPr>
              <w:t>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kern w:val="0"/>
              </w:rPr>
            </w:pPr>
            <w:r>
              <w:rPr>
                <w:rFonts w:hint="eastAsia" w:ascii="宋体" w:hAnsi="宋体" w:cs="宋体"/>
                <w:kern w:val="0"/>
              </w:rPr>
              <w:t>投标报价得分=(评标基准价／投标报价)×100×权重</w:t>
            </w:r>
          </w:p>
          <w:p>
            <w:pPr>
              <w:widowControl/>
              <w:jc w:val="left"/>
              <w:rPr>
                <w:rFonts w:ascii="宋体" w:cs="宋体"/>
              </w:rPr>
            </w:pPr>
            <w:r>
              <w:rPr>
                <w:rFonts w:hint="eastAsia" w:ascii="宋体" w:hAnsi="宋体"/>
                <w:bCs/>
              </w:rPr>
              <w:t>备注：1、因落实政府采购政策进行价格调整的，以调整后的价格计算评标基准价和投标报价</w:t>
            </w:r>
            <w:r>
              <w:rPr>
                <w:rFonts w:hint="eastAsia" w:ascii="宋体" w:cs="宋体"/>
              </w:rPr>
              <w:t>,详见《价格扣除》。</w:t>
            </w:r>
          </w:p>
          <w:p>
            <w:pPr>
              <w:rPr>
                <w:rFonts w:ascii="宋体" w:hAnsi="宋体"/>
                <w:bCs/>
              </w:rPr>
            </w:pPr>
            <w:r>
              <w:rPr>
                <w:rFonts w:hint="eastAsia" w:ascii="宋体" w:hAnsi="宋体"/>
                <w:bCs/>
              </w:rPr>
              <w:t>2、投标报价得分四舍五入后，</w:t>
            </w:r>
            <w:r>
              <w:rPr>
                <w:rFonts w:hint="eastAsia" w:ascii="Arial" w:hAnsi="Arial" w:cs="Arial"/>
                <w:szCs w:val="20"/>
              </w:rPr>
              <w:t>小数点后保留两位有效数</w:t>
            </w:r>
            <w:r>
              <w:rPr>
                <w:rFonts w:hint="eastAsia" w:ascii="宋体" w:hAnsi="宋体"/>
                <w:bCs/>
              </w:rPr>
              <w:t>；</w:t>
            </w:r>
          </w:p>
        </w:tc>
        <w:tc>
          <w:tcPr>
            <w:tcW w:w="685" w:type="dxa"/>
            <w:tcBorders>
              <w:right w:val="single" w:color="auto" w:sz="4" w:space="0"/>
            </w:tcBorders>
            <w:vAlign w:val="center"/>
          </w:tcPr>
          <w:p>
            <w:pPr>
              <w:ind w:left="-78" w:leftChars="-37" w:right="-73" w:rightChars="-35"/>
              <w:jc w:val="center"/>
              <w:rPr>
                <w:rFonts w:ascii="宋体" w:hAnsi="宋体" w:cs="宋体"/>
              </w:rPr>
            </w:pPr>
            <w:r>
              <w:rPr>
                <w:rFonts w:hint="eastAsia" w:ascii="宋体" w:hAnsi="宋体" w:cs="宋体"/>
              </w:rPr>
              <w:t>10%</w:t>
            </w:r>
            <w:r>
              <w:rPr>
                <w:rFonts w:ascii="宋体" w:hAnsi="宋体" w:cs="宋体"/>
              </w:rPr>
              <w:t xml:space="preserve"> </w:t>
            </w:r>
          </w:p>
        </w:tc>
        <w:tc>
          <w:tcPr>
            <w:tcW w:w="697"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765" w:type="dxa"/>
            <w:gridSpan w:val="3"/>
            <w:vAlign w:val="center"/>
          </w:tcPr>
          <w:p>
            <w:pPr>
              <w:ind w:left="-78" w:leftChars="-37" w:right="-73" w:rightChars="-35"/>
              <w:jc w:val="center"/>
              <w:rPr>
                <w:rFonts w:ascii="宋体" w:hAnsi="宋体" w:cs="宋体"/>
              </w:rPr>
            </w:pPr>
            <w:r>
              <w:rPr>
                <w:rFonts w:hint="eastAsia" w:ascii="宋体" w:hAnsi="宋体"/>
              </w:rPr>
              <w:t>合计</w:t>
            </w:r>
          </w:p>
        </w:tc>
        <w:tc>
          <w:tcPr>
            <w:tcW w:w="685" w:type="dxa"/>
            <w:tcBorders>
              <w:right w:val="single" w:color="auto" w:sz="4" w:space="0"/>
            </w:tcBorders>
            <w:vAlign w:val="center"/>
          </w:tcPr>
          <w:p>
            <w:pPr>
              <w:ind w:left="-78" w:leftChars="-37" w:right="-73" w:rightChars="-35"/>
              <w:jc w:val="center"/>
              <w:rPr>
                <w:rFonts w:ascii="宋体" w:hAnsi="宋体" w:cs="宋体"/>
              </w:rPr>
            </w:pPr>
            <w:r>
              <w:rPr>
                <w:rFonts w:hint="eastAsia" w:ascii="宋体" w:hAnsi="宋体" w:cs="宋体"/>
              </w:rPr>
              <w:t>100%</w:t>
            </w:r>
          </w:p>
        </w:tc>
        <w:tc>
          <w:tcPr>
            <w:tcW w:w="697"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rPr>
              <w:t>100分</w:t>
            </w:r>
          </w:p>
        </w:tc>
      </w:tr>
    </w:tbl>
    <w:p>
      <w:pPr>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附件：投标及履约承诺函</w:t>
      </w:r>
    </w:p>
    <w:p>
      <w:pPr>
        <w:widowControl/>
        <w:jc w:val="left"/>
        <w:rPr>
          <w:rFonts w:ascii="仿宋" w:hAnsi="仿宋" w:eastAsia="仿宋" w:cs="仿宋_GB2312"/>
          <w:sz w:val="32"/>
          <w:szCs w:val="32"/>
        </w:rPr>
      </w:pPr>
      <w:r>
        <w:rPr>
          <w:rFonts w:ascii="仿宋" w:hAnsi="仿宋" w:eastAsia="仿宋" w:cs="仿宋_GB2312"/>
          <w:sz w:val="32"/>
          <w:szCs w:val="32"/>
        </w:rPr>
        <w:br w:type="page"/>
      </w:r>
    </w:p>
    <w:p>
      <w:pPr>
        <w:adjustRightInd w:val="0"/>
        <w:snapToGrid w:val="0"/>
        <w:jc w:val="left"/>
        <w:rPr>
          <w:rFonts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zh-CN"/>
        </w:rPr>
        <w:t>附件</w:t>
      </w:r>
    </w:p>
    <w:p>
      <w:pPr>
        <w:adjustRightInd w:val="0"/>
        <w:snapToGrid w:val="0"/>
        <w:jc w:val="center"/>
        <w:rPr>
          <w:rFonts w:ascii="宋体" w:hAnsi="宋体" w:cs="宋体"/>
          <w:b/>
          <w:bCs/>
          <w:sz w:val="44"/>
          <w:szCs w:val="44"/>
        </w:rPr>
      </w:pPr>
    </w:p>
    <w:p>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 xml:space="preserve">.我单位已认真阅读本项目需求，我单位承诺按时递交标书。 </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方正仿宋_GBK"/>
    <w:panose1 w:val="00000000000000000000"/>
    <w:charset w:val="86"/>
    <w:family w:val="auto"/>
    <w:pitch w:val="default"/>
    <w:sig w:usb0="00000000" w:usb1="00000000" w:usb2="00000010" w:usb3="00000000" w:csb0="00040000" w:csb1="00000000"/>
  </w:font>
  <w:font w:name="Helvetica">
    <w:altName w:val="FreeSans"/>
    <w:panose1 w:val="020B05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0000000000000000000"/>
    <w:charset w:val="86"/>
    <w:family w:val="auto"/>
    <w:pitch w:val="default"/>
    <w:sig w:usb0="00000000" w:usb1="00000000" w:usb2="00000010" w:usb3="00000000" w:csb0="00040000" w:csb1="00000000"/>
  </w:font>
  <w:font w:name="Arial (W1)">
    <w:altName w:val="DejaVu Sans"/>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汉仪细等线简">
    <w:altName w:val="仿宋_GB2312"/>
    <w:panose1 w:val="00000000000000000000"/>
    <w:charset w:val="86"/>
    <w:family w:val="auto"/>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URW Bookman"/>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隶书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FreeSans">
    <w:panose1 w:val="020B0504020202020204"/>
    <w:charset w:val="00"/>
    <w:family w:val="auto"/>
    <w:pitch w:val="default"/>
    <w:sig w:usb0="E4839EFF" w:usb1="4600FDFF" w:usb2="000030A0" w:usb3="00000584" w:csb0="600001BF" w:csb1="DFF70000"/>
  </w:font>
  <w:font w:name="华文仿宋">
    <w:panose1 w:val="02010600040101010101"/>
    <w:charset w:val="86"/>
    <w:family w:val="auto"/>
    <w:pitch w:val="default"/>
    <w:sig w:usb0="00000287" w:usb1="080F0000" w:usb2="00000000" w:usb3="00000000" w:csb0="0004009F" w:csb1="DFD7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z6Z5bGAQAAcAMAAA4AAABkcnMv&#10;ZTJvRG9jLnhtbK1TwY7TMBC9I/EPlu80acWiEtVdgVaLkBAgLXyA6ziNJdtjjd0m5QPgDzhx4c53&#10;9Tt27DZdxN5WXJwZz/jNvDeT1fXoLNtrjAa84PNZzZn2Clrjt4J//XL7YslZTNK30oLXgh905Nfr&#10;589WQ2j0AnqwrUZGID42QxC8Tyk0VRVVr52MMwjaU7ADdDKRi9uqRTkQurPVoq5fVQNgGxCUjpFu&#10;b05Bvi74XadV+tR1USdmBafeUjmxnJt8VuuVbLYoQ2/UuQ35hC6cNJ6KXqBuZJJsh+YRlDMKIUKX&#10;ZgpcBV1nlC4ciM28/ofNXS+DLlxInBguMsX/B6s+7j8jM63gLznz0tGIjj9/HH/9Of7+zuZZniHE&#10;hrLuAuWl8S2Mgifc6SkU6T4THzt0+UuUGKWQ1oeLvnpMTNHlfLlYLmsKKYpNDpWoHp4HjOmdBsey&#10;ITjSAIuucv8hplPqlJKrebg11pYhWs8GwV9fLa7Kg0uEwK3Pubqswxkmszq1nq00bsYz1Q20B2JK&#10;K03le8BvnA20HoJ72l/O7HtP6udNmgycjM1kSK/oIclUGonhzS5Rm6X7XOxUgVhnh8Za+J9XMO/N&#10;337JevhR1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bPpnlsYBAABwAwAADgAAAAAAAAAB&#10;ACAAAAA0AQAAZHJzL2Uyb0RvYy54bWxQSwUGAAAAAAYABgBZAQAAbA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07EF0"/>
    <w:rsid w:val="00015BC4"/>
    <w:rsid w:val="00021F8A"/>
    <w:rsid w:val="00026571"/>
    <w:rsid w:val="0004775A"/>
    <w:rsid w:val="00057629"/>
    <w:rsid w:val="0007094F"/>
    <w:rsid w:val="00087B33"/>
    <w:rsid w:val="0009025E"/>
    <w:rsid w:val="000943CB"/>
    <w:rsid w:val="000A2ECD"/>
    <w:rsid w:val="000A460A"/>
    <w:rsid w:val="000B0355"/>
    <w:rsid w:val="000B0357"/>
    <w:rsid w:val="000C24E4"/>
    <w:rsid w:val="000C4C90"/>
    <w:rsid w:val="000C72A3"/>
    <w:rsid w:val="000E057C"/>
    <w:rsid w:val="000E7D03"/>
    <w:rsid w:val="000F7AD1"/>
    <w:rsid w:val="00102E73"/>
    <w:rsid w:val="00104E04"/>
    <w:rsid w:val="001124E6"/>
    <w:rsid w:val="00121A5C"/>
    <w:rsid w:val="001275A8"/>
    <w:rsid w:val="001278AD"/>
    <w:rsid w:val="00142DE7"/>
    <w:rsid w:val="0014446E"/>
    <w:rsid w:val="001544E0"/>
    <w:rsid w:val="00155FBC"/>
    <w:rsid w:val="0017605A"/>
    <w:rsid w:val="0017760C"/>
    <w:rsid w:val="00180298"/>
    <w:rsid w:val="0018063F"/>
    <w:rsid w:val="001816F2"/>
    <w:rsid w:val="00186C5C"/>
    <w:rsid w:val="00197FDE"/>
    <w:rsid w:val="001B20D4"/>
    <w:rsid w:val="001B35A8"/>
    <w:rsid w:val="001C71B0"/>
    <w:rsid w:val="001D3DDB"/>
    <w:rsid w:val="001E3A97"/>
    <w:rsid w:val="001E3DDA"/>
    <w:rsid w:val="001E510D"/>
    <w:rsid w:val="001F2F3C"/>
    <w:rsid w:val="001F3397"/>
    <w:rsid w:val="001F6A98"/>
    <w:rsid w:val="001F7840"/>
    <w:rsid w:val="002121C1"/>
    <w:rsid w:val="00212BC7"/>
    <w:rsid w:val="00214268"/>
    <w:rsid w:val="00226951"/>
    <w:rsid w:val="00236C21"/>
    <w:rsid w:val="00247CC0"/>
    <w:rsid w:val="00264F3F"/>
    <w:rsid w:val="00275B1E"/>
    <w:rsid w:val="0029255E"/>
    <w:rsid w:val="002B2371"/>
    <w:rsid w:val="002B5A7D"/>
    <w:rsid w:val="002C23E7"/>
    <w:rsid w:val="002C410B"/>
    <w:rsid w:val="002C75A1"/>
    <w:rsid w:val="002D3E7B"/>
    <w:rsid w:val="002E3180"/>
    <w:rsid w:val="002F0A38"/>
    <w:rsid w:val="002F2249"/>
    <w:rsid w:val="002F7D66"/>
    <w:rsid w:val="0030460A"/>
    <w:rsid w:val="00310166"/>
    <w:rsid w:val="003108AF"/>
    <w:rsid w:val="003109D9"/>
    <w:rsid w:val="00312DB9"/>
    <w:rsid w:val="003179F2"/>
    <w:rsid w:val="0032247C"/>
    <w:rsid w:val="00336A84"/>
    <w:rsid w:val="00342105"/>
    <w:rsid w:val="003443C6"/>
    <w:rsid w:val="00346AEE"/>
    <w:rsid w:val="00351547"/>
    <w:rsid w:val="00351C24"/>
    <w:rsid w:val="003614DA"/>
    <w:rsid w:val="00362DD6"/>
    <w:rsid w:val="003663D1"/>
    <w:rsid w:val="00386203"/>
    <w:rsid w:val="00387586"/>
    <w:rsid w:val="00397D57"/>
    <w:rsid w:val="003A5EBE"/>
    <w:rsid w:val="003A71FE"/>
    <w:rsid w:val="003B47C2"/>
    <w:rsid w:val="003C0F0F"/>
    <w:rsid w:val="003C550C"/>
    <w:rsid w:val="003C7DC7"/>
    <w:rsid w:val="003D0615"/>
    <w:rsid w:val="003D57C1"/>
    <w:rsid w:val="003E09A2"/>
    <w:rsid w:val="003E74A2"/>
    <w:rsid w:val="003E7BEF"/>
    <w:rsid w:val="003F7347"/>
    <w:rsid w:val="0040141D"/>
    <w:rsid w:val="00401F33"/>
    <w:rsid w:val="0040409B"/>
    <w:rsid w:val="0043443C"/>
    <w:rsid w:val="004346D9"/>
    <w:rsid w:val="0043764A"/>
    <w:rsid w:val="00450C05"/>
    <w:rsid w:val="00455A2D"/>
    <w:rsid w:val="004573A5"/>
    <w:rsid w:val="00461339"/>
    <w:rsid w:val="0046505B"/>
    <w:rsid w:val="004747A9"/>
    <w:rsid w:val="00482C77"/>
    <w:rsid w:val="00490843"/>
    <w:rsid w:val="00492143"/>
    <w:rsid w:val="004A018F"/>
    <w:rsid w:val="004A4844"/>
    <w:rsid w:val="004B3EFF"/>
    <w:rsid w:val="004B4044"/>
    <w:rsid w:val="004B72E2"/>
    <w:rsid w:val="004D140F"/>
    <w:rsid w:val="004D647F"/>
    <w:rsid w:val="004D69E2"/>
    <w:rsid w:val="004E6DC8"/>
    <w:rsid w:val="004F4EEB"/>
    <w:rsid w:val="00502316"/>
    <w:rsid w:val="00512272"/>
    <w:rsid w:val="00522B7F"/>
    <w:rsid w:val="005236DE"/>
    <w:rsid w:val="005250D0"/>
    <w:rsid w:val="0053239E"/>
    <w:rsid w:val="00533C56"/>
    <w:rsid w:val="00540773"/>
    <w:rsid w:val="00541A5D"/>
    <w:rsid w:val="00543EBC"/>
    <w:rsid w:val="00544137"/>
    <w:rsid w:val="00551C08"/>
    <w:rsid w:val="00551FCE"/>
    <w:rsid w:val="0055630F"/>
    <w:rsid w:val="00566FD7"/>
    <w:rsid w:val="00571748"/>
    <w:rsid w:val="005742E2"/>
    <w:rsid w:val="00574E9C"/>
    <w:rsid w:val="0057642D"/>
    <w:rsid w:val="005770EC"/>
    <w:rsid w:val="00581043"/>
    <w:rsid w:val="00591F8A"/>
    <w:rsid w:val="00592178"/>
    <w:rsid w:val="0059695D"/>
    <w:rsid w:val="005B045A"/>
    <w:rsid w:val="005B1504"/>
    <w:rsid w:val="005C1EA1"/>
    <w:rsid w:val="005D06B7"/>
    <w:rsid w:val="005D2DBD"/>
    <w:rsid w:val="005D5595"/>
    <w:rsid w:val="005F42B7"/>
    <w:rsid w:val="00614414"/>
    <w:rsid w:val="00625492"/>
    <w:rsid w:val="00626F53"/>
    <w:rsid w:val="006302E3"/>
    <w:rsid w:val="00633239"/>
    <w:rsid w:val="00633C39"/>
    <w:rsid w:val="00642642"/>
    <w:rsid w:val="00667D11"/>
    <w:rsid w:val="006826A5"/>
    <w:rsid w:val="00693E4E"/>
    <w:rsid w:val="006A2133"/>
    <w:rsid w:val="006C4AD8"/>
    <w:rsid w:val="006D34ED"/>
    <w:rsid w:val="006D43DB"/>
    <w:rsid w:val="006D7442"/>
    <w:rsid w:val="006E19C9"/>
    <w:rsid w:val="006E5EC1"/>
    <w:rsid w:val="006E64BB"/>
    <w:rsid w:val="006E6B64"/>
    <w:rsid w:val="00713126"/>
    <w:rsid w:val="00713D58"/>
    <w:rsid w:val="00737455"/>
    <w:rsid w:val="00741452"/>
    <w:rsid w:val="007414C6"/>
    <w:rsid w:val="00755554"/>
    <w:rsid w:val="00756219"/>
    <w:rsid w:val="00763343"/>
    <w:rsid w:val="00772977"/>
    <w:rsid w:val="00774EE4"/>
    <w:rsid w:val="00781E6C"/>
    <w:rsid w:val="0078257A"/>
    <w:rsid w:val="00785916"/>
    <w:rsid w:val="00792503"/>
    <w:rsid w:val="00796037"/>
    <w:rsid w:val="007A27DD"/>
    <w:rsid w:val="007A7B81"/>
    <w:rsid w:val="007B3AC8"/>
    <w:rsid w:val="007D0575"/>
    <w:rsid w:val="007D3A49"/>
    <w:rsid w:val="007D629B"/>
    <w:rsid w:val="007D7579"/>
    <w:rsid w:val="007E4380"/>
    <w:rsid w:val="007F12AF"/>
    <w:rsid w:val="00800F5B"/>
    <w:rsid w:val="00803DE1"/>
    <w:rsid w:val="008111D2"/>
    <w:rsid w:val="008166EE"/>
    <w:rsid w:val="008346B8"/>
    <w:rsid w:val="0084013A"/>
    <w:rsid w:val="00843442"/>
    <w:rsid w:val="00843C62"/>
    <w:rsid w:val="008537B6"/>
    <w:rsid w:val="00856555"/>
    <w:rsid w:val="0087046C"/>
    <w:rsid w:val="008705FA"/>
    <w:rsid w:val="00876D92"/>
    <w:rsid w:val="008836FE"/>
    <w:rsid w:val="00883B31"/>
    <w:rsid w:val="00884E21"/>
    <w:rsid w:val="008907C7"/>
    <w:rsid w:val="00893717"/>
    <w:rsid w:val="00897A19"/>
    <w:rsid w:val="008A79FD"/>
    <w:rsid w:val="008B084A"/>
    <w:rsid w:val="008B4CAF"/>
    <w:rsid w:val="008D2D34"/>
    <w:rsid w:val="008D783E"/>
    <w:rsid w:val="008F443C"/>
    <w:rsid w:val="009107D4"/>
    <w:rsid w:val="00912182"/>
    <w:rsid w:val="00913B55"/>
    <w:rsid w:val="00915D94"/>
    <w:rsid w:val="00920BB7"/>
    <w:rsid w:val="009245E2"/>
    <w:rsid w:val="009274B6"/>
    <w:rsid w:val="00933256"/>
    <w:rsid w:val="009351C9"/>
    <w:rsid w:val="00935C24"/>
    <w:rsid w:val="00937757"/>
    <w:rsid w:val="009417F2"/>
    <w:rsid w:val="0094689E"/>
    <w:rsid w:val="00951D76"/>
    <w:rsid w:val="009634AF"/>
    <w:rsid w:val="009719CF"/>
    <w:rsid w:val="00976494"/>
    <w:rsid w:val="00977802"/>
    <w:rsid w:val="009910FD"/>
    <w:rsid w:val="00993A50"/>
    <w:rsid w:val="0099769F"/>
    <w:rsid w:val="009A0980"/>
    <w:rsid w:val="009A62DE"/>
    <w:rsid w:val="009B1BCF"/>
    <w:rsid w:val="009B37E4"/>
    <w:rsid w:val="009B4668"/>
    <w:rsid w:val="009C378C"/>
    <w:rsid w:val="009C556B"/>
    <w:rsid w:val="009D0E3F"/>
    <w:rsid w:val="009D520A"/>
    <w:rsid w:val="009E0008"/>
    <w:rsid w:val="009F6E16"/>
    <w:rsid w:val="00A002CE"/>
    <w:rsid w:val="00A03C2D"/>
    <w:rsid w:val="00A17EB4"/>
    <w:rsid w:val="00A305F8"/>
    <w:rsid w:val="00A31433"/>
    <w:rsid w:val="00A31463"/>
    <w:rsid w:val="00A44DD8"/>
    <w:rsid w:val="00A51B21"/>
    <w:rsid w:val="00A60F56"/>
    <w:rsid w:val="00A716A3"/>
    <w:rsid w:val="00A73054"/>
    <w:rsid w:val="00A76F81"/>
    <w:rsid w:val="00A80150"/>
    <w:rsid w:val="00A9093A"/>
    <w:rsid w:val="00A94D28"/>
    <w:rsid w:val="00A97A05"/>
    <w:rsid w:val="00AA5CBE"/>
    <w:rsid w:val="00AA62E8"/>
    <w:rsid w:val="00AA6594"/>
    <w:rsid w:val="00AB432C"/>
    <w:rsid w:val="00AB5B09"/>
    <w:rsid w:val="00AC012B"/>
    <w:rsid w:val="00AC5C00"/>
    <w:rsid w:val="00AD11F7"/>
    <w:rsid w:val="00AD2C39"/>
    <w:rsid w:val="00AE74B1"/>
    <w:rsid w:val="00B01134"/>
    <w:rsid w:val="00B067EE"/>
    <w:rsid w:val="00B0798D"/>
    <w:rsid w:val="00B10467"/>
    <w:rsid w:val="00B25245"/>
    <w:rsid w:val="00B31182"/>
    <w:rsid w:val="00B35AF6"/>
    <w:rsid w:val="00B36FF2"/>
    <w:rsid w:val="00B56D2F"/>
    <w:rsid w:val="00B61338"/>
    <w:rsid w:val="00B61BFE"/>
    <w:rsid w:val="00B67D61"/>
    <w:rsid w:val="00B74AC0"/>
    <w:rsid w:val="00B7696A"/>
    <w:rsid w:val="00B82F55"/>
    <w:rsid w:val="00B86F7E"/>
    <w:rsid w:val="00B9388B"/>
    <w:rsid w:val="00BA050C"/>
    <w:rsid w:val="00BA3A8C"/>
    <w:rsid w:val="00BB4B80"/>
    <w:rsid w:val="00BB7155"/>
    <w:rsid w:val="00BC680A"/>
    <w:rsid w:val="00BC6A39"/>
    <w:rsid w:val="00C13C74"/>
    <w:rsid w:val="00C3092A"/>
    <w:rsid w:val="00C44FAE"/>
    <w:rsid w:val="00C5185F"/>
    <w:rsid w:val="00C52D4D"/>
    <w:rsid w:val="00C53BC7"/>
    <w:rsid w:val="00C54474"/>
    <w:rsid w:val="00C57C32"/>
    <w:rsid w:val="00C655DD"/>
    <w:rsid w:val="00C96D23"/>
    <w:rsid w:val="00CB02DC"/>
    <w:rsid w:val="00CB7CA8"/>
    <w:rsid w:val="00CC01BA"/>
    <w:rsid w:val="00CD16CE"/>
    <w:rsid w:val="00CF6F23"/>
    <w:rsid w:val="00D12A2B"/>
    <w:rsid w:val="00D1589D"/>
    <w:rsid w:val="00D24698"/>
    <w:rsid w:val="00D25868"/>
    <w:rsid w:val="00D25C47"/>
    <w:rsid w:val="00D2660C"/>
    <w:rsid w:val="00D30E9B"/>
    <w:rsid w:val="00D316F6"/>
    <w:rsid w:val="00D45768"/>
    <w:rsid w:val="00D45F2D"/>
    <w:rsid w:val="00D55F1E"/>
    <w:rsid w:val="00D6072F"/>
    <w:rsid w:val="00D64D20"/>
    <w:rsid w:val="00D75ED0"/>
    <w:rsid w:val="00D76346"/>
    <w:rsid w:val="00D7776E"/>
    <w:rsid w:val="00D9607B"/>
    <w:rsid w:val="00D96346"/>
    <w:rsid w:val="00DA667C"/>
    <w:rsid w:val="00DB7BEE"/>
    <w:rsid w:val="00DC1D8B"/>
    <w:rsid w:val="00DD0471"/>
    <w:rsid w:val="00DD5C89"/>
    <w:rsid w:val="00DE41D0"/>
    <w:rsid w:val="00DE5F7D"/>
    <w:rsid w:val="00DF1F58"/>
    <w:rsid w:val="00E01A08"/>
    <w:rsid w:val="00E03217"/>
    <w:rsid w:val="00E055A3"/>
    <w:rsid w:val="00E05EDB"/>
    <w:rsid w:val="00E07E9C"/>
    <w:rsid w:val="00E11A28"/>
    <w:rsid w:val="00E20EC4"/>
    <w:rsid w:val="00E22750"/>
    <w:rsid w:val="00E250BB"/>
    <w:rsid w:val="00E30705"/>
    <w:rsid w:val="00E51826"/>
    <w:rsid w:val="00E5351E"/>
    <w:rsid w:val="00E65C2A"/>
    <w:rsid w:val="00E70DE8"/>
    <w:rsid w:val="00E764AB"/>
    <w:rsid w:val="00E820A7"/>
    <w:rsid w:val="00E83BC8"/>
    <w:rsid w:val="00E850EA"/>
    <w:rsid w:val="00E909BD"/>
    <w:rsid w:val="00E96829"/>
    <w:rsid w:val="00E97CC2"/>
    <w:rsid w:val="00EA349E"/>
    <w:rsid w:val="00EB2AB7"/>
    <w:rsid w:val="00EC337A"/>
    <w:rsid w:val="00EE0506"/>
    <w:rsid w:val="00EE2341"/>
    <w:rsid w:val="00EE23B4"/>
    <w:rsid w:val="00EE244A"/>
    <w:rsid w:val="00EE2D71"/>
    <w:rsid w:val="00EF1340"/>
    <w:rsid w:val="00F01E8C"/>
    <w:rsid w:val="00F02BFB"/>
    <w:rsid w:val="00F03D5C"/>
    <w:rsid w:val="00F07DB6"/>
    <w:rsid w:val="00F17CBD"/>
    <w:rsid w:val="00F20658"/>
    <w:rsid w:val="00F222DE"/>
    <w:rsid w:val="00F34F92"/>
    <w:rsid w:val="00F35096"/>
    <w:rsid w:val="00F51166"/>
    <w:rsid w:val="00F64707"/>
    <w:rsid w:val="00F71508"/>
    <w:rsid w:val="00F82281"/>
    <w:rsid w:val="00FA2F56"/>
    <w:rsid w:val="00FA687C"/>
    <w:rsid w:val="00FA6B2D"/>
    <w:rsid w:val="00FB2C4D"/>
    <w:rsid w:val="00FB2E08"/>
    <w:rsid w:val="00FC012F"/>
    <w:rsid w:val="00FC043D"/>
    <w:rsid w:val="00FD3295"/>
    <w:rsid w:val="01FB42C6"/>
    <w:rsid w:val="02E52B28"/>
    <w:rsid w:val="03633F51"/>
    <w:rsid w:val="03D32EAA"/>
    <w:rsid w:val="092B3441"/>
    <w:rsid w:val="0A193F41"/>
    <w:rsid w:val="0BE95F9E"/>
    <w:rsid w:val="0F1C3C95"/>
    <w:rsid w:val="12F96422"/>
    <w:rsid w:val="154C74B7"/>
    <w:rsid w:val="164963A5"/>
    <w:rsid w:val="1AF0362E"/>
    <w:rsid w:val="1D6614F4"/>
    <w:rsid w:val="1F8C4BC7"/>
    <w:rsid w:val="227D1127"/>
    <w:rsid w:val="25ED7CFF"/>
    <w:rsid w:val="2A224677"/>
    <w:rsid w:val="2CE83633"/>
    <w:rsid w:val="2D560907"/>
    <w:rsid w:val="2E452FC9"/>
    <w:rsid w:val="2F2E417E"/>
    <w:rsid w:val="31EE4784"/>
    <w:rsid w:val="36587F7A"/>
    <w:rsid w:val="37366C2B"/>
    <w:rsid w:val="3B530682"/>
    <w:rsid w:val="3C6F180D"/>
    <w:rsid w:val="3CAA0266"/>
    <w:rsid w:val="402D6C07"/>
    <w:rsid w:val="40760AAC"/>
    <w:rsid w:val="48934F74"/>
    <w:rsid w:val="4C1676C1"/>
    <w:rsid w:val="4D4D1E47"/>
    <w:rsid w:val="54DF2B0C"/>
    <w:rsid w:val="56821B7F"/>
    <w:rsid w:val="571E4E32"/>
    <w:rsid w:val="57D1E83A"/>
    <w:rsid w:val="5A9A4E21"/>
    <w:rsid w:val="5AFD6C6B"/>
    <w:rsid w:val="5C065F65"/>
    <w:rsid w:val="5EFBB886"/>
    <w:rsid w:val="66D14FFC"/>
    <w:rsid w:val="68AC4A92"/>
    <w:rsid w:val="69D169BA"/>
    <w:rsid w:val="6BF02543"/>
    <w:rsid w:val="6CB64147"/>
    <w:rsid w:val="71C22B21"/>
    <w:rsid w:val="729C4002"/>
    <w:rsid w:val="73271770"/>
    <w:rsid w:val="734C7658"/>
    <w:rsid w:val="744051D9"/>
    <w:rsid w:val="7562283E"/>
    <w:rsid w:val="76141AED"/>
    <w:rsid w:val="76B65054"/>
    <w:rsid w:val="771C49A5"/>
    <w:rsid w:val="78E96FE8"/>
    <w:rsid w:val="79856CB1"/>
    <w:rsid w:val="7CEB3072"/>
    <w:rsid w:val="7D4B7D80"/>
    <w:rsid w:val="FD6F2FAE"/>
    <w:rsid w:val="FFFAA0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黑体" w:cs="Times New Roman"/>
      <w:b/>
      <w:bCs/>
      <w:kern w:val="44"/>
      <w:sz w:val="28"/>
      <w:szCs w:val="44"/>
    </w:rPr>
  </w:style>
  <w:style w:type="character" w:customStyle="1" w:styleId="61">
    <w:name w:val="标题 4 字符"/>
    <w:basedOn w:val="45"/>
    <w:link w:val="5"/>
    <w:qFormat/>
    <w:uiPriority w:val="0"/>
    <w:rPr>
      <w:rFonts w:ascii="Arial" w:hAnsi="Arial" w:eastAsia="黑体"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黑体"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黑体" w:cs="Times New Roman"/>
      <w:sz w:val="24"/>
      <w:szCs w:val="20"/>
    </w:rPr>
  </w:style>
  <w:style w:type="character" w:customStyle="1" w:styleId="66">
    <w:name w:val="标题 9 字符"/>
    <w:basedOn w:val="45"/>
    <w:link w:val="11"/>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34"/>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表段落 字符"/>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深圳市住房和建设局</Company>
  <Pages>8</Pages>
  <Words>631</Words>
  <Characters>3602</Characters>
  <Lines>30</Lines>
  <Paragraphs>8</Paragraphs>
  <TotalTime>15</TotalTime>
  <ScaleCrop>false</ScaleCrop>
  <LinksUpToDate>false</LinksUpToDate>
  <CharactersWithSpaces>4225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2021-12-15T16:31:00Z</dcterms:created>
  <dc:creator>李刚</dc:creator>
  <cp:lastModifiedBy>张晋玮</cp:lastModifiedBy>
  <cp:lastPrinted>2019-04-25T17:57:00Z</cp:lastPrinted>
  <dcterms:modified xsi:type="dcterms:W3CDTF">2022-05-06T09:17:53Z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