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粤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港澳大湾区知识产权金融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交流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对接会议程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:0</w:t>
      </w:r>
      <w:r>
        <w:rPr>
          <w:rFonts w:hint="eastAsia" w:ascii="仿宋_GB2312" w:eastAsia="仿宋_GB2312"/>
          <w:sz w:val="32"/>
          <w:szCs w:val="32"/>
        </w:rPr>
        <w:t>0-12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:3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hanging="960" w:hangingChars="300"/>
        <w:jc w:val="both"/>
        <w:textAlignment w:val="auto"/>
      </w:pPr>
      <w:r>
        <w:rPr>
          <w:rFonts w:hint="eastAsia" w:ascii="仿宋_GB2312" w:eastAsia="仿宋_GB2312"/>
          <w:color w:val="000000"/>
          <w:sz w:val="32"/>
          <w:szCs w:val="32"/>
        </w:rPr>
        <w:t>地点：深圳市福田区深南中路3024号中航城格兰云天大酒店3楼云海厅</w:t>
      </w:r>
    </w:p>
    <w:tbl>
      <w:tblPr>
        <w:tblStyle w:val="3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108"/>
        <w:gridCol w:w="308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时间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主题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主讲人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4"/>
                <w:highlight w:val="none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9:00–9:30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签  到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深圳市标准技术研究院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9:30–9: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开场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de-DE"/>
              </w:rPr>
              <w:t>探索知识产权证券化先行示范“深圳模式”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深圳市高新投融资担保有限公司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–10: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highlight w:val="none"/>
                <w:lang w:val="de-DE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知识产权质押融资及保险服务方案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国任财产保险股份有限公司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10:40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11:00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中场休息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–11: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highlight w:val="none"/>
                <w:lang w:val="de-DE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highlight w:val="none"/>
                <w:lang w:val="de-DE" w:eastAsia="zh-CN" w:bidi="ar-SA"/>
              </w:rPr>
              <w:t>科技金融 小企业金融服务方案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de-DE"/>
              </w:rPr>
              <w:t>浦发银行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11: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–1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3108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香港知识产权交易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经验分享</w:t>
            </w:r>
          </w:p>
        </w:tc>
        <w:tc>
          <w:tcPr>
            <w:tcW w:w="3087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香港知识产权交易所</w:t>
            </w:r>
          </w:p>
        </w:tc>
        <w:tc>
          <w:tcPr>
            <w:tcW w:w="1275" w:type="dxa"/>
            <w:vMerge w:val="continue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0–12: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互动交流</w:t>
            </w: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25FC4"/>
    <w:rsid w:val="46C25FC4"/>
    <w:rsid w:val="7677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2021-10-18T19:48:00Z</dcterms:created>
  <dc:creator>王秋雯</dc:creator>
  <cp:lastModifiedBy>WANGQW</cp:lastModifiedBy>
  <dcterms:modified xsi:type="dcterms:W3CDTF">2022-04-13T18:10:05Z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