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深圳市出租型公共住房收购价格测算指引</w:t>
      </w:r>
    </w:p>
    <w:bookmarkEnd w:id="0"/>
    <w:p>
      <w:pPr>
        <w:spacing w:before="156" w:beforeLines="50" w:line="390" w:lineRule="atLeast"/>
        <w:ind w:firstLine="480" w:firstLineChars="200"/>
        <w:rPr>
          <w:rFonts w:hint="eastAsia" w:ascii="宋体" w:hAnsi="宋体"/>
          <w:sz w:val="24"/>
          <w:szCs w:val="24"/>
        </w:rPr>
      </w:pPr>
      <w:r>
        <w:rPr>
          <w:rFonts w:hint="eastAsia" w:ascii="宋体" w:hAnsi="宋体"/>
          <w:sz w:val="24"/>
          <w:szCs w:val="24"/>
        </w:rPr>
        <w:t>根据《深圳市公共住房收购操作规程》，结合本市实际情况，制定本指引。</w:t>
      </w:r>
    </w:p>
    <w:p>
      <w:pPr>
        <w:spacing w:line="390" w:lineRule="atLeast"/>
        <w:ind w:firstLine="480" w:firstLineChars="200"/>
        <w:rPr>
          <w:rFonts w:hint="eastAsia" w:ascii="宋体" w:hAnsi="宋体"/>
          <w:sz w:val="24"/>
          <w:szCs w:val="24"/>
        </w:rPr>
      </w:pPr>
      <w:r>
        <w:rPr>
          <w:rFonts w:hint="eastAsia" w:ascii="宋体" w:hAnsi="宋体"/>
          <w:sz w:val="24"/>
          <w:szCs w:val="24"/>
        </w:rPr>
        <w:t>本指引包含六个部分：《第一部分 地价计算方式》《第二部分 建设成本计算方式》《第三部分 资金成本计算方式》《第四部分 合理利润计算方式》《第五部分 户内装饰装修造价确定原则》《第六部分 税金计算方式》，每个部分的计算方式都以单位价格计算，采用文字说明与表格相结合的形式，表格所指数据或者计算方式等需结合文字说明使用。</w:t>
      </w:r>
    </w:p>
    <w:p>
      <w:pPr>
        <w:spacing w:line="390" w:lineRule="atLeast"/>
        <w:ind w:firstLine="480" w:firstLineChars="200"/>
        <w:rPr>
          <w:rFonts w:hint="eastAsia" w:ascii="宋体" w:hAnsi="宋体"/>
          <w:sz w:val="24"/>
          <w:szCs w:val="24"/>
        </w:rPr>
      </w:pPr>
      <w:r>
        <w:rPr>
          <w:rFonts w:hint="eastAsia" w:ascii="宋体" w:hAnsi="宋体"/>
          <w:sz w:val="24"/>
          <w:szCs w:val="24"/>
        </w:rPr>
        <w:t>深圳市出租型公共住房收购价格计算公式为：</w:t>
      </w:r>
    </w:p>
    <w:p>
      <w:pPr>
        <w:spacing w:line="390" w:lineRule="atLeast"/>
        <w:ind w:firstLine="480" w:firstLineChars="200"/>
        <w:rPr>
          <w:rFonts w:hint="eastAsia" w:ascii="宋体" w:hAnsi="宋体"/>
          <w:sz w:val="24"/>
          <w:szCs w:val="24"/>
        </w:rPr>
      </w:pPr>
      <w:r>
        <w:rPr>
          <w:rFonts w:hint="eastAsia" w:ascii="宋体" w:hAnsi="宋体"/>
          <w:sz w:val="24"/>
          <w:szCs w:val="24"/>
        </w:rPr>
        <w:t>收购价格＝地价＋建设成本＋资金成本＋合理利润＋户内装饰装修造价＋法定税金＋收购双方约定的其他费用</w:t>
      </w:r>
    </w:p>
    <w:p>
      <w:pPr>
        <w:spacing w:after="156" w:afterLines="50" w:line="390" w:lineRule="atLeast"/>
        <w:ind w:firstLine="480" w:firstLineChars="200"/>
        <w:rPr>
          <w:rFonts w:hint="eastAsia" w:ascii="宋体" w:hAnsi="宋体"/>
          <w:sz w:val="24"/>
          <w:szCs w:val="24"/>
        </w:rPr>
      </w:pPr>
      <w:r>
        <w:rPr>
          <w:rFonts w:hint="eastAsia" w:ascii="宋体" w:hAnsi="宋体"/>
          <w:sz w:val="24"/>
          <w:szCs w:val="24"/>
        </w:rPr>
        <w:t>本指引所指出租型公共住房收购面积，应当以竣工测绘报告载明的建筑面积为准；如测算收购价格时竣工测绘未完成，则依次按照预售测绘报告、建设工程规划许可证、土地使用权出让合同书所载明的建筑面积确定出租型公共住房收购面积。</w:t>
      </w:r>
    </w:p>
    <w:p>
      <w:pPr>
        <w:spacing w:line="0" w:lineRule="atLeast"/>
        <w:jc w:val="center"/>
        <w:rPr>
          <w:rFonts w:hint="eastAsia" w:ascii="宋体"/>
          <w:b/>
          <w:color w:val="000000"/>
          <w:sz w:val="28"/>
          <w:szCs w:val="28"/>
        </w:rPr>
      </w:pPr>
      <w:r>
        <w:rPr>
          <w:rFonts w:hint="eastAsia" w:ascii="宋体"/>
          <w:b/>
          <w:color w:val="000000"/>
          <w:sz w:val="28"/>
          <w:szCs w:val="28"/>
        </w:rPr>
        <w:drawing>
          <wp:inline distT="0" distB="0" distL="114300" distR="114300">
            <wp:extent cx="5316220" cy="3968115"/>
            <wp:effectExtent l="0" t="0" r="1778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16220" cy="3968115"/>
                    </a:xfrm>
                    <a:prstGeom prst="rect">
                      <a:avLst/>
                    </a:prstGeom>
                    <a:noFill/>
                    <a:ln>
                      <a:noFill/>
                    </a:ln>
                  </pic:spPr>
                </pic:pic>
              </a:graphicData>
            </a:graphic>
          </wp:inline>
        </w:drawing>
      </w:r>
    </w:p>
    <w:p>
      <w:pPr>
        <w:spacing w:before="93" w:beforeLines="30"/>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收购价格构成示意图</w:t>
      </w:r>
    </w:p>
    <w:p>
      <w:pPr>
        <w:spacing w:line="396" w:lineRule="atLeast"/>
        <w:jc w:val="center"/>
        <w:rPr>
          <w:rFonts w:hint="eastAsia" w:ascii="仿宋_GB2312" w:hAnsi="宋体" w:eastAsia="仿宋_GB2312"/>
          <w:bCs/>
          <w:color w:val="000000"/>
          <w:sz w:val="24"/>
          <w:szCs w:val="24"/>
        </w:rPr>
      </w:pPr>
    </w:p>
    <w:p>
      <w:pPr>
        <w:spacing w:line="396" w:lineRule="atLeast"/>
        <w:jc w:val="center"/>
        <w:rPr>
          <w:rFonts w:hint="eastAsia" w:ascii="黑体" w:hAnsi="宋体" w:eastAsia="黑体"/>
          <w:sz w:val="24"/>
          <w:szCs w:val="24"/>
        </w:rPr>
      </w:pPr>
      <w:r>
        <w:rPr>
          <w:rFonts w:hint="eastAsia" w:ascii="黑体" w:hAnsi="宋体" w:eastAsia="黑体"/>
          <w:sz w:val="24"/>
          <w:szCs w:val="24"/>
        </w:rPr>
        <w:t>第一部分  地价计算方式</w:t>
      </w:r>
    </w:p>
    <w:p>
      <w:pPr>
        <w:spacing w:line="396" w:lineRule="atLeast"/>
        <w:jc w:val="center"/>
        <w:rPr>
          <w:rFonts w:hint="eastAsia" w:ascii="仿宋_GB2312" w:hAnsi="宋体" w:eastAsia="仿宋_GB2312"/>
          <w:bCs/>
          <w:color w:val="000000"/>
          <w:sz w:val="24"/>
          <w:szCs w:val="24"/>
        </w:rPr>
      </w:pPr>
    </w:p>
    <w:p>
      <w:pPr>
        <w:autoSpaceDE w:val="0"/>
        <w:spacing w:line="396" w:lineRule="atLeast"/>
        <w:ind w:firstLine="464" w:firstLineChars="200"/>
        <w:rPr>
          <w:rFonts w:hint="eastAsia" w:ascii="宋体" w:hAnsi="宋体"/>
          <w:color w:val="000000"/>
          <w:spacing w:val="-4"/>
          <w:sz w:val="24"/>
          <w:szCs w:val="24"/>
        </w:rPr>
      </w:pPr>
      <w:r>
        <w:rPr>
          <w:rFonts w:hint="eastAsia" w:ascii="宋体" w:hAnsi="宋体"/>
          <w:color w:val="000000"/>
          <w:spacing w:val="-4"/>
          <w:sz w:val="24"/>
          <w:szCs w:val="24"/>
        </w:rPr>
        <w:t>地价</w:t>
      </w:r>
      <w:r>
        <w:rPr>
          <w:rFonts w:ascii="宋体" w:hAnsi="宋体"/>
          <w:color w:val="000000"/>
          <w:spacing w:val="-4"/>
          <w:sz w:val="24"/>
          <w:szCs w:val="24"/>
        </w:rPr>
        <w:t>＝</w:t>
      </w:r>
      <w:r>
        <w:rPr>
          <w:rFonts w:hint="eastAsia" w:ascii="宋体" w:hAnsi="宋体"/>
          <w:color w:val="000000"/>
          <w:spacing w:val="-4"/>
          <w:sz w:val="24"/>
          <w:szCs w:val="24"/>
        </w:rPr>
        <w:t>所收购出租型公共住房实际缴纳的地价。</w:t>
      </w:r>
    </w:p>
    <w:p>
      <w:pPr>
        <w:spacing w:line="396" w:lineRule="atLeast"/>
        <w:jc w:val="center"/>
        <w:rPr>
          <w:rFonts w:hint="eastAsia" w:ascii="仿宋_GB2312" w:hAnsi="宋体" w:eastAsia="仿宋_GB2312"/>
          <w:bCs/>
          <w:color w:val="000000"/>
          <w:sz w:val="24"/>
          <w:szCs w:val="24"/>
        </w:rPr>
      </w:pPr>
    </w:p>
    <w:p>
      <w:pPr>
        <w:spacing w:line="396" w:lineRule="atLeast"/>
        <w:jc w:val="center"/>
        <w:rPr>
          <w:rFonts w:hint="eastAsia" w:ascii="黑体" w:hAnsi="宋体" w:eastAsia="黑体"/>
          <w:sz w:val="24"/>
          <w:szCs w:val="24"/>
        </w:rPr>
      </w:pPr>
      <w:r>
        <w:rPr>
          <w:rFonts w:hint="eastAsia" w:ascii="黑体" w:hAnsi="宋体" w:eastAsia="黑体"/>
          <w:sz w:val="24"/>
          <w:szCs w:val="24"/>
        </w:rPr>
        <w:t>第二部分  建设成本计算方式</w:t>
      </w:r>
    </w:p>
    <w:p>
      <w:pPr>
        <w:spacing w:line="396" w:lineRule="atLeast"/>
        <w:jc w:val="center"/>
        <w:rPr>
          <w:rFonts w:hint="eastAsia" w:ascii="仿宋_GB2312" w:hAnsi="宋体" w:eastAsia="仿宋_GB2312"/>
          <w:bCs/>
          <w:color w:val="000000"/>
          <w:sz w:val="24"/>
          <w:szCs w:val="24"/>
        </w:rPr>
      </w:pPr>
    </w:p>
    <w:p>
      <w:pPr>
        <w:autoSpaceDE w:val="0"/>
        <w:spacing w:line="396" w:lineRule="atLeast"/>
        <w:ind w:firstLine="464" w:firstLineChars="200"/>
        <w:rPr>
          <w:rFonts w:hint="eastAsia" w:ascii="宋体" w:hAnsi="宋体"/>
          <w:color w:val="000000"/>
          <w:spacing w:val="-4"/>
          <w:sz w:val="24"/>
          <w:szCs w:val="24"/>
        </w:rPr>
      </w:pPr>
      <w:r>
        <w:rPr>
          <w:rFonts w:hint="eastAsia" w:ascii="宋体" w:hAnsi="宋体"/>
          <w:color w:val="000000"/>
          <w:spacing w:val="-4"/>
          <w:sz w:val="24"/>
          <w:szCs w:val="24"/>
        </w:rPr>
        <w:t>建设成本</w:t>
      </w:r>
      <w:r>
        <w:rPr>
          <w:rFonts w:ascii="宋体" w:hAnsi="宋体"/>
          <w:color w:val="000000"/>
          <w:spacing w:val="-4"/>
          <w:sz w:val="24"/>
          <w:szCs w:val="24"/>
        </w:rPr>
        <w:t>＝</w:t>
      </w:r>
      <w:r>
        <w:rPr>
          <w:rFonts w:hint="eastAsia" w:ascii="宋体" w:hAnsi="宋体"/>
          <w:color w:val="000000"/>
          <w:spacing w:val="-4"/>
          <w:sz w:val="24"/>
          <w:szCs w:val="24"/>
        </w:rPr>
        <w:t>基本建设费用</w:t>
      </w:r>
      <w:r>
        <w:rPr>
          <w:rFonts w:ascii="宋体" w:hAnsi="宋体"/>
          <w:color w:val="000000"/>
          <w:spacing w:val="-4"/>
          <w:sz w:val="24"/>
          <w:szCs w:val="24"/>
        </w:rPr>
        <w:t>＋</w:t>
      </w:r>
      <w:r>
        <w:rPr>
          <w:rFonts w:hint="eastAsia" w:ascii="宋体" w:hAnsi="宋体"/>
          <w:color w:val="000000"/>
          <w:spacing w:val="-4"/>
          <w:sz w:val="24"/>
          <w:szCs w:val="24"/>
        </w:rPr>
        <w:t>管理费</w:t>
      </w:r>
      <w:r>
        <w:rPr>
          <w:rFonts w:ascii="宋体" w:hAnsi="宋体"/>
          <w:color w:val="000000"/>
          <w:spacing w:val="-4"/>
          <w:sz w:val="24"/>
          <w:szCs w:val="24"/>
        </w:rPr>
        <w:t>＋</w:t>
      </w:r>
      <w:r>
        <w:rPr>
          <w:rFonts w:hint="eastAsia" w:ascii="宋体" w:hAnsi="宋体"/>
          <w:color w:val="000000"/>
          <w:spacing w:val="-4"/>
          <w:sz w:val="24"/>
          <w:szCs w:val="24"/>
        </w:rPr>
        <w:t>法定规费。</w:t>
      </w:r>
    </w:p>
    <w:p>
      <w:pPr>
        <w:spacing w:line="396" w:lineRule="atLeast"/>
        <w:jc w:val="center"/>
        <w:rPr>
          <w:rFonts w:hint="eastAsia" w:ascii="仿宋_GB2312" w:hAnsi="宋体" w:eastAsia="仿宋_GB2312"/>
          <w:bCs/>
          <w:color w:val="000000"/>
          <w:sz w:val="24"/>
          <w:szCs w:val="24"/>
        </w:rPr>
      </w:pPr>
    </w:p>
    <w:p>
      <w:pPr>
        <w:spacing w:line="396" w:lineRule="atLeast"/>
        <w:jc w:val="center"/>
        <w:rPr>
          <w:rFonts w:hint="eastAsia" w:ascii="黑体" w:hAnsi="宋体" w:eastAsia="黑体"/>
          <w:sz w:val="24"/>
          <w:szCs w:val="24"/>
        </w:rPr>
      </w:pPr>
      <w:r>
        <w:rPr>
          <w:rFonts w:hint="eastAsia" w:ascii="黑体" w:hAnsi="宋体" w:eastAsia="黑体"/>
          <w:sz w:val="24"/>
          <w:szCs w:val="24"/>
        </w:rPr>
        <w:t>Ⅰ  基本建设费用</w:t>
      </w:r>
    </w:p>
    <w:p>
      <w:pPr>
        <w:spacing w:line="396" w:lineRule="atLeast"/>
        <w:jc w:val="center"/>
        <w:rPr>
          <w:rFonts w:hint="eastAsia" w:ascii="仿宋_GB2312" w:hAnsi="宋体" w:eastAsia="仿宋_GB2312"/>
          <w:bCs/>
          <w:color w:val="000000"/>
          <w:sz w:val="24"/>
          <w:szCs w:val="24"/>
        </w:rPr>
      </w:pPr>
    </w:p>
    <w:p>
      <w:pPr>
        <w:spacing w:after="156" w:afterLines="50" w:line="396" w:lineRule="atLeast"/>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基本建设费用</w:t>
      </w:r>
      <w:r>
        <w:rPr>
          <w:rFonts w:ascii="宋体" w:hAnsi="宋体" w:cs="仿宋_GB2312"/>
          <w:color w:val="000000"/>
          <w:sz w:val="24"/>
          <w:szCs w:val="24"/>
        </w:rPr>
        <w:t>＝</w:t>
      </w:r>
      <w:r>
        <w:rPr>
          <w:rFonts w:hint="eastAsia" w:ascii="宋体" w:hAnsi="宋体" w:cs="仿宋_GB2312"/>
          <w:color w:val="000000"/>
          <w:sz w:val="24"/>
          <w:szCs w:val="24"/>
        </w:rPr>
        <w:t>建设前期工程费及勘察设计费</w:t>
      </w:r>
      <w:r>
        <w:rPr>
          <w:rFonts w:ascii="宋体" w:hAnsi="宋体" w:cs="仿宋_GB2312"/>
          <w:color w:val="000000"/>
          <w:sz w:val="24"/>
          <w:szCs w:val="24"/>
        </w:rPr>
        <w:t>＋</w:t>
      </w:r>
      <w:r>
        <w:rPr>
          <w:rFonts w:hint="eastAsia" w:ascii="宋体" w:hAnsi="宋体" w:cs="仿宋_GB2312"/>
          <w:color w:val="000000"/>
          <w:sz w:val="24"/>
          <w:szCs w:val="24"/>
        </w:rPr>
        <w:t>（建筑安装工程费及设备费</w:t>
      </w:r>
      <w:r>
        <w:rPr>
          <w:rFonts w:ascii="宋体" w:hAnsi="宋体" w:cs="仿宋_GB2312"/>
          <w:color w:val="000000"/>
          <w:sz w:val="24"/>
          <w:szCs w:val="24"/>
        </w:rPr>
        <w:t>＋</w:t>
      </w:r>
      <w:r>
        <w:rPr>
          <w:rFonts w:hint="eastAsia" w:ascii="宋体" w:hAnsi="宋体" w:cs="仿宋_GB2312"/>
          <w:color w:val="000000"/>
          <w:sz w:val="24"/>
          <w:szCs w:val="24"/>
        </w:rPr>
        <w:t>基础设施建设费和公共配套设施建设费）×（测算时点当月造价指数</w:t>
      </w:r>
      <w:r>
        <w:rPr>
          <w:rFonts w:ascii="宋体" w:hAnsi="宋体" w:cs="仿宋_GB2312"/>
          <w:color w:val="000000"/>
          <w:sz w:val="24"/>
          <w:szCs w:val="24"/>
        </w:rPr>
        <w:t>/2021</w:t>
      </w:r>
      <w:r>
        <w:rPr>
          <w:rFonts w:hint="eastAsia" w:ascii="宋体" w:hAnsi="宋体" w:cs="仿宋_GB2312"/>
          <w:color w:val="000000"/>
          <w:sz w:val="24"/>
          <w:szCs w:val="24"/>
        </w:rPr>
        <w:t>年</w:t>
      </w:r>
      <w:r>
        <w:rPr>
          <w:rFonts w:ascii="宋体" w:hAnsi="宋体" w:cs="仿宋_GB2312"/>
          <w:color w:val="000000"/>
          <w:sz w:val="24"/>
          <w:szCs w:val="24"/>
        </w:rPr>
        <w:t>7</w:t>
      </w:r>
      <w:r>
        <w:rPr>
          <w:rFonts w:hint="eastAsia" w:ascii="宋体" w:hAnsi="宋体" w:cs="仿宋_GB2312"/>
          <w:color w:val="000000"/>
          <w:sz w:val="24"/>
          <w:szCs w:val="24"/>
        </w:rPr>
        <w:t>月造价指数）×（</w:t>
      </w:r>
      <w:r>
        <w:rPr>
          <w:rFonts w:ascii="宋体" w:hAnsi="宋体" w:cs="仿宋_GB2312"/>
          <w:color w:val="000000"/>
          <w:sz w:val="24"/>
          <w:szCs w:val="24"/>
        </w:rPr>
        <w:t>1－</w:t>
      </w:r>
      <w:r>
        <w:rPr>
          <w:rFonts w:hint="eastAsia" w:ascii="宋体" w:hAnsi="宋体" w:cs="仿宋_GB2312"/>
          <w:color w:val="000000"/>
          <w:sz w:val="24"/>
          <w:szCs w:val="24"/>
        </w:rPr>
        <w:t>下浮率）</w:t>
      </w:r>
      <w:r>
        <w:rPr>
          <w:rFonts w:ascii="宋体" w:hAnsi="宋体" w:cs="仿宋_GB2312"/>
          <w:color w:val="000000"/>
          <w:sz w:val="24"/>
          <w:szCs w:val="24"/>
        </w:rPr>
        <w:t>＋</w:t>
      </w:r>
      <w:r>
        <w:rPr>
          <w:rFonts w:hint="eastAsia" w:ascii="宋体" w:hAnsi="宋体" w:cs="仿宋_GB2312"/>
          <w:color w:val="000000"/>
          <w:sz w:val="24"/>
          <w:szCs w:val="24"/>
        </w:rPr>
        <w:t>其他费用。</w:t>
      </w:r>
    </w:p>
    <w:p>
      <w:pPr>
        <w:spacing w:line="160" w:lineRule="exact"/>
        <w:rPr>
          <w:rFonts w:ascii="宋体" w:hAnsi="宋体" w:cs="仿宋_GB2312"/>
          <w:color w:val="000000"/>
          <w:sz w:val="24"/>
          <w:szCs w:val="24"/>
        </w:rPr>
      </w:pPr>
    </w:p>
    <w:tbl>
      <w:tblPr>
        <w:tblStyle w:val="5"/>
        <w:tblW w:w="5000" w:type="pct"/>
        <w:jc w:val="center"/>
        <w:tblLayout w:type="fixed"/>
        <w:tblCellMar>
          <w:top w:w="0" w:type="dxa"/>
          <w:left w:w="108" w:type="dxa"/>
          <w:bottom w:w="0" w:type="dxa"/>
          <w:right w:w="108" w:type="dxa"/>
        </w:tblCellMar>
      </w:tblPr>
      <w:tblGrid>
        <w:gridCol w:w="517"/>
        <w:gridCol w:w="1173"/>
        <w:gridCol w:w="1665"/>
        <w:gridCol w:w="5761"/>
      </w:tblGrid>
      <w:tr>
        <w:tblPrEx>
          <w:tblCellMar>
            <w:top w:w="0" w:type="dxa"/>
            <w:left w:w="108" w:type="dxa"/>
            <w:bottom w:w="0" w:type="dxa"/>
            <w:right w:w="108" w:type="dxa"/>
          </w:tblCellMar>
        </w:tblPrEx>
        <w:trPr>
          <w:trHeight w:val="28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pStyle w:val="2"/>
              <w:autoSpaceDE w:val="0"/>
              <w:snapToGrid w:val="0"/>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序号</w:t>
            </w:r>
          </w:p>
        </w:tc>
        <w:tc>
          <w:tcPr>
            <w:tcW w:w="1173" w:type="dxa"/>
            <w:tcBorders>
              <w:top w:val="single" w:color="auto" w:sz="4" w:space="0"/>
              <w:left w:val="nil"/>
              <w:bottom w:val="single" w:color="auto" w:sz="4" w:space="0"/>
              <w:right w:val="single" w:color="auto" w:sz="4" w:space="0"/>
            </w:tcBorders>
            <w:noWrap w:val="0"/>
            <w:vAlign w:val="center"/>
          </w:tcPr>
          <w:p>
            <w:pPr>
              <w:pStyle w:val="2"/>
              <w:autoSpaceDE w:val="0"/>
              <w:snapToGrid w:val="0"/>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费用名称</w:t>
            </w:r>
          </w:p>
        </w:tc>
        <w:tc>
          <w:tcPr>
            <w:tcW w:w="1665" w:type="dxa"/>
            <w:tcBorders>
              <w:top w:val="single" w:color="auto" w:sz="4" w:space="0"/>
              <w:left w:val="nil"/>
              <w:bottom w:val="single" w:color="auto" w:sz="4" w:space="0"/>
              <w:right w:val="single" w:color="auto" w:sz="4" w:space="0"/>
            </w:tcBorders>
            <w:noWrap w:val="0"/>
            <w:vAlign w:val="center"/>
          </w:tcPr>
          <w:p>
            <w:pPr>
              <w:pStyle w:val="2"/>
              <w:autoSpaceDE w:val="0"/>
              <w:snapToGrid w:val="0"/>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计算方式</w:t>
            </w:r>
          </w:p>
        </w:tc>
        <w:tc>
          <w:tcPr>
            <w:tcW w:w="5761" w:type="dxa"/>
            <w:tcBorders>
              <w:top w:val="single" w:color="auto" w:sz="4" w:space="0"/>
              <w:left w:val="nil"/>
              <w:bottom w:val="single" w:color="auto" w:sz="4" w:space="0"/>
              <w:right w:val="single" w:color="auto" w:sz="4" w:space="0"/>
            </w:tcBorders>
            <w:noWrap w:val="0"/>
            <w:vAlign w:val="center"/>
          </w:tcPr>
          <w:p>
            <w:pPr>
              <w:pStyle w:val="2"/>
              <w:autoSpaceDE w:val="0"/>
              <w:snapToGrid w:val="0"/>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包括内容</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auto" w:sz="4" w:space="0"/>
              <w:bottom w:val="single" w:color="auto" w:sz="4" w:space="0"/>
              <w:right w:val="single" w:color="auto" w:sz="4" w:space="0"/>
            </w:tcBorders>
            <w:noWrap w:val="0"/>
            <w:vAlign w:val="center"/>
          </w:tcPr>
          <w:p>
            <w:pPr>
              <w:widowControl/>
              <w:snapToGrid w:val="0"/>
              <w:spacing w:line="260" w:lineRule="exact"/>
              <w:ind w:left="-63" w:leftChars="-30" w:right="-63" w:rightChars="-30"/>
              <w:jc w:val="center"/>
              <w:rPr>
                <w:rFonts w:ascii="宋体" w:hAnsi="宋体" w:cs="仿宋_GB2312"/>
                <w:color w:val="000000"/>
                <w:szCs w:val="21"/>
              </w:rPr>
            </w:pPr>
            <w:r>
              <w:rPr>
                <w:rFonts w:ascii="宋体" w:hAnsi="宋体" w:cs="仿宋_GB2312"/>
                <w:color w:val="000000"/>
                <w:szCs w:val="21"/>
              </w:rPr>
              <w:t>1</w:t>
            </w:r>
          </w:p>
        </w:tc>
        <w:tc>
          <w:tcPr>
            <w:tcW w:w="1173" w:type="dxa"/>
            <w:tcBorders>
              <w:top w:val="nil"/>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建设前期工程费及勘察设计费</w:t>
            </w:r>
          </w:p>
        </w:tc>
        <w:tc>
          <w:tcPr>
            <w:tcW w:w="1665" w:type="dxa"/>
            <w:tcBorders>
              <w:top w:val="nil"/>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pacing w:val="-4"/>
                <w:szCs w:val="21"/>
              </w:rPr>
            </w:pPr>
            <w:r>
              <w:rPr>
                <w:rFonts w:ascii="宋体" w:hAnsi="宋体" w:cs="仿宋_GB2312"/>
                <w:color w:val="000000"/>
                <w:spacing w:val="-4"/>
                <w:szCs w:val="21"/>
              </w:rPr>
              <w:t>（</w:t>
            </w:r>
            <w:r>
              <w:rPr>
                <w:rFonts w:hint="eastAsia" w:ascii="宋体" w:hAnsi="宋体" w:cs="仿宋_GB2312"/>
                <w:color w:val="000000"/>
                <w:spacing w:val="-4"/>
                <w:szCs w:val="21"/>
              </w:rPr>
              <w:t>建筑安装工程费及设备费</w:t>
            </w:r>
            <w:r>
              <w:rPr>
                <w:rFonts w:ascii="宋体" w:hAnsi="宋体" w:cs="仿宋_GB2312"/>
                <w:color w:val="000000"/>
                <w:spacing w:val="-4"/>
                <w:szCs w:val="21"/>
              </w:rPr>
              <w:t>＋</w:t>
            </w:r>
            <w:r>
              <w:rPr>
                <w:rFonts w:hint="eastAsia" w:ascii="宋体" w:hAnsi="宋体" w:cs="仿宋_GB2312"/>
                <w:color w:val="000000"/>
                <w:spacing w:val="-4"/>
                <w:szCs w:val="21"/>
              </w:rPr>
              <w:t>基础设施建设费和公共配套设施建设费</w:t>
            </w:r>
            <w:r>
              <w:rPr>
                <w:rFonts w:ascii="宋体" w:hAnsi="宋体" w:cs="仿宋_GB2312"/>
                <w:color w:val="000000"/>
                <w:spacing w:val="-44"/>
                <w:szCs w:val="21"/>
              </w:rPr>
              <w:t>）</w:t>
            </w:r>
            <w:r>
              <w:rPr>
                <w:rFonts w:hint="eastAsia" w:ascii="宋体" w:hAnsi="宋体" w:cs="仿宋_GB2312"/>
                <w:color w:val="000000"/>
                <w:spacing w:val="-4"/>
                <w:szCs w:val="21"/>
              </w:rPr>
              <w:t>×</w:t>
            </w:r>
            <w:r>
              <w:rPr>
                <w:rFonts w:ascii="宋体" w:hAnsi="宋体" w:cs="仿宋_GB2312"/>
                <w:color w:val="000000"/>
                <w:spacing w:val="-4"/>
                <w:szCs w:val="21"/>
              </w:rPr>
              <w:t>6%（</w:t>
            </w:r>
            <w:r>
              <w:rPr>
                <w:rFonts w:hint="eastAsia" w:ascii="宋体" w:hAnsi="宋体" w:cs="仿宋_GB2312"/>
                <w:color w:val="000000"/>
                <w:spacing w:val="-4"/>
                <w:szCs w:val="21"/>
              </w:rPr>
              <w:t>或者</w:t>
            </w:r>
            <w:r>
              <w:rPr>
                <w:rFonts w:ascii="宋体" w:hAnsi="宋体" w:cs="仿宋_GB2312"/>
                <w:color w:val="000000"/>
                <w:spacing w:val="-4"/>
                <w:szCs w:val="21"/>
              </w:rPr>
              <w:t>4.6%</w:t>
            </w:r>
            <w:r>
              <w:rPr>
                <w:rFonts w:hint="eastAsia" w:ascii="宋体" w:hAnsi="宋体" w:cs="仿宋_GB2312"/>
                <w:color w:val="000000"/>
                <w:spacing w:val="-4"/>
                <w:szCs w:val="21"/>
              </w:rPr>
              <w:t>或者</w:t>
            </w:r>
            <w:r>
              <w:rPr>
                <w:rFonts w:ascii="宋体" w:hAnsi="宋体" w:cs="仿宋_GB2312"/>
                <w:color w:val="000000"/>
                <w:spacing w:val="-4"/>
                <w:szCs w:val="21"/>
              </w:rPr>
              <w:t>4.8%</w:t>
            </w:r>
            <w:r>
              <w:rPr>
                <w:rFonts w:ascii="宋体" w:hAnsi="宋体" w:cs="仿宋_GB2312"/>
                <w:color w:val="000000"/>
                <w:spacing w:val="-44"/>
                <w:szCs w:val="21"/>
              </w:rPr>
              <w:t>）</w:t>
            </w:r>
          </w:p>
        </w:tc>
        <w:tc>
          <w:tcPr>
            <w:tcW w:w="5761" w:type="dxa"/>
            <w:tcBorders>
              <w:top w:val="nil"/>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建设前期工程费及勘察设计费包括前期工作咨询费、环境影响评价费、水土保持评价费、招标代理服务费与工程交易服务费、勘察设计费及施工图审查费、工程造价咨询费、雷电风险评估费、交通影响评价，以及施工通水、通电、通路及场地平整、苗木迁移、临时占用绿地费、路口开设等开发项目前期发生的所有费用。</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auto" w:sz="4" w:space="0"/>
              <w:bottom w:val="single" w:color="auto" w:sz="4" w:space="0"/>
              <w:right w:val="single" w:color="auto" w:sz="4" w:space="0"/>
            </w:tcBorders>
            <w:noWrap w:val="0"/>
            <w:vAlign w:val="center"/>
          </w:tcPr>
          <w:p>
            <w:pPr>
              <w:widowControl/>
              <w:snapToGrid w:val="0"/>
              <w:spacing w:line="260" w:lineRule="exact"/>
              <w:ind w:left="-63" w:leftChars="-30" w:right="-63" w:rightChars="-30"/>
              <w:jc w:val="center"/>
              <w:rPr>
                <w:rFonts w:ascii="宋体" w:hAnsi="宋体" w:cs="仿宋_GB2312"/>
                <w:color w:val="000000"/>
                <w:szCs w:val="21"/>
              </w:rPr>
            </w:pPr>
            <w:r>
              <w:rPr>
                <w:rFonts w:ascii="宋体" w:hAnsi="宋体" w:cs="仿宋_GB2312"/>
                <w:color w:val="000000"/>
                <w:szCs w:val="21"/>
              </w:rPr>
              <w:t>2</w:t>
            </w:r>
          </w:p>
        </w:tc>
        <w:tc>
          <w:tcPr>
            <w:tcW w:w="1173" w:type="dxa"/>
            <w:tcBorders>
              <w:top w:val="nil"/>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建筑安装工程费及设备费</w:t>
            </w:r>
          </w:p>
        </w:tc>
        <w:tc>
          <w:tcPr>
            <w:tcW w:w="1665" w:type="dxa"/>
            <w:tcBorders>
              <w:top w:val="nil"/>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见表</w:t>
            </w:r>
            <w:r>
              <w:rPr>
                <w:rFonts w:ascii="宋体" w:hAnsi="宋体" w:cs="仿宋_GB2312"/>
                <w:color w:val="000000"/>
                <w:szCs w:val="21"/>
              </w:rPr>
              <w:t>1-1</w:t>
            </w:r>
          </w:p>
        </w:tc>
        <w:tc>
          <w:tcPr>
            <w:tcW w:w="5761" w:type="dxa"/>
            <w:tcBorders>
              <w:top w:val="nil"/>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包括房屋主体部分的土建（含基坑、桩基）工程费、住房公共区域装修、水暖电、燃气、建筑智能、消防、电梯等安装工程费及设备费、附属工程费等，以及在施工过程中因设计变更等增加合同价款和合理的人工、材料价差、施工过程所发生的措施费、检验检测、监测费及规费、保险费等。</w:t>
            </w:r>
          </w:p>
        </w:tc>
      </w:tr>
      <w:tr>
        <w:tblPrEx>
          <w:tblCellMar>
            <w:top w:w="0" w:type="dxa"/>
            <w:left w:w="108" w:type="dxa"/>
            <w:bottom w:w="0" w:type="dxa"/>
            <w:right w:w="108" w:type="dxa"/>
          </w:tblCellMar>
        </w:tblPrEx>
        <w:trPr>
          <w:trHeight w:val="28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ind w:left="-63" w:leftChars="-30" w:right="-63" w:rightChars="-30"/>
              <w:jc w:val="center"/>
              <w:rPr>
                <w:rFonts w:ascii="宋体" w:hAnsi="宋体" w:cs="仿宋_GB2312"/>
                <w:color w:val="000000"/>
                <w:szCs w:val="21"/>
              </w:rPr>
            </w:pPr>
            <w:r>
              <w:rPr>
                <w:rFonts w:ascii="宋体" w:hAnsi="宋体" w:cs="仿宋_GB2312"/>
                <w:color w:val="000000"/>
                <w:szCs w:val="21"/>
              </w:rPr>
              <w:t>3</w:t>
            </w:r>
          </w:p>
        </w:tc>
        <w:tc>
          <w:tcPr>
            <w:tcW w:w="1173"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基础设施建设费和公共配套设施建设费</w:t>
            </w:r>
          </w:p>
        </w:tc>
        <w:tc>
          <w:tcPr>
            <w:tcW w:w="1665" w:type="dxa"/>
            <w:tcBorders>
              <w:top w:val="single" w:color="auto" w:sz="4" w:space="0"/>
              <w:left w:val="nil"/>
              <w:bottom w:val="single" w:color="auto" w:sz="4" w:space="0"/>
              <w:right w:val="single" w:color="auto" w:sz="4" w:space="0"/>
            </w:tcBorders>
            <w:noWrap w:val="0"/>
            <w:vAlign w:val="center"/>
          </w:tcPr>
          <w:p>
            <w:pPr>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建筑安装工程费及设备费×</w:t>
            </w:r>
            <w:r>
              <w:rPr>
                <w:rFonts w:ascii="宋体" w:hAnsi="宋体" w:cs="仿宋_GB2312"/>
                <w:color w:val="000000"/>
                <w:szCs w:val="21"/>
              </w:rPr>
              <w:t>5%</w:t>
            </w:r>
          </w:p>
        </w:tc>
        <w:tc>
          <w:tcPr>
            <w:tcW w:w="5761"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基础设施建设包括：（</w:t>
            </w:r>
            <w:r>
              <w:rPr>
                <w:rFonts w:ascii="宋体" w:hAnsi="宋体" w:cs="仿宋_GB2312"/>
                <w:color w:val="000000"/>
                <w:szCs w:val="21"/>
              </w:rPr>
              <w:t>1</w:t>
            </w:r>
            <w:r>
              <w:rPr>
                <w:rFonts w:hint="eastAsia" w:ascii="宋体" w:hAnsi="宋体" w:cs="仿宋_GB2312"/>
                <w:color w:val="000000"/>
                <w:szCs w:val="21"/>
              </w:rPr>
              <w:t>）园林绿化，其苗木种植是指乔木、灌木及地被搭配种植，主要苗木的规格不得低于以下标准：乔木胸径</w:t>
            </w:r>
            <w:r>
              <w:rPr>
                <w:rFonts w:ascii="宋体" w:hAnsi="宋体" w:cs="仿宋_GB2312"/>
                <w:color w:val="000000"/>
                <w:szCs w:val="21"/>
              </w:rPr>
              <w:t>6</w:t>
            </w:r>
            <w:r>
              <w:rPr>
                <w:rFonts w:hint="eastAsia" w:ascii="宋体" w:hAnsi="宋体" w:cs="仿宋_GB2312"/>
                <w:color w:val="000000"/>
                <w:szCs w:val="21"/>
              </w:rPr>
              <w:t>―</w:t>
            </w:r>
            <w:r>
              <w:rPr>
                <w:rFonts w:ascii="宋体" w:hAnsi="宋体" w:cs="仿宋_GB2312"/>
                <w:color w:val="000000"/>
                <w:szCs w:val="21"/>
              </w:rPr>
              <w:t>7cm</w:t>
            </w:r>
            <w:r>
              <w:rPr>
                <w:rFonts w:hint="eastAsia" w:ascii="宋体" w:hAnsi="宋体" w:cs="仿宋_GB2312"/>
                <w:color w:val="000000"/>
                <w:szCs w:val="21"/>
              </w:rPr>
              <w:t>、灌木苗高</w:t>
            </w:r>
            <w:r>
              <w:rPr>
                <w:rFonts w:hint="eastAsia" w:ascii="宋体" w:hAnsi="宋体" w:cs="仿宋_GB2312"/>
                <w:color w:val="000000"/>
                <w:spacing w:val="-4"/>
                <w:szCs w:val="21"/>
              </w:rPr>
              <w:t>×</w:t>
            </w:r>
            <w:r>
              <w:rPr>
                <w:rFonts w:hint="eastAsia" w:ascii="宋体" w:hAnsi="宋体" w:cs="仿宋_GB2312"/>
                <w:color w:val="000000"/>
                <w:szCs w:val="21"/>
              </w:rPr>
              <w:t>冠幅</w:t>
            </w:r>
            <w:r>
              <w:rPr>
                <w:rFonts w:ascii="宋体" w:hAnsi="宋体" w:cs="仿宋_GB2312"/>
                <w:color w:val="000000"/>
                <w:szCs w:val="21"/>
              </w:rPr>
              <w:t>100</w:t>
            </w:r>
            <w:r>
              <w:rPr>
                <w:rFonts w:hint="eastAsia" w:ascii="宋体" w:hAnsi="宋体" w:cs="仿宋_GB2312"/>
                <w:color w:val="000000"/>
                <w:spacing w:val="-4"/>
                <w:szCs w:val="21"/>
              </w:rPr>
              <w:t>×</w:t>
            </w:r>
            <w:r>
              <w:rPr>
                <w:rFonts w:ascii="宋体" w:hAnsi="宋体" w:cs="仿宋_GB2312"/>
                <w:color w:val="000000"/>
                <w:szCs w:val="21"/>
              </w:rPr>
              <w:t>80cm</w:t>
            </w:r>
            <w:r>
              <w:rPr>
                <w:rFonts w:hint="eastAsia" w:ascii="宋体" w:hAnsi="宋体" w:cs="仿宋_GB2312"/>
                <w:color w:val="000000"/>
                <w:szCs w:val="21"/>
              </w:rPr>
              <w:t>、花坛苗高</w:t>
            </w:r>
            <w:r>
              <w:rPr>
                <w:rFonts w:hint="eastAsia" w:ascii="宋体" w:hAnsi="宋体" w:cs="仿宋_GB2312"/>
                <w:color w:val="000000"/>
                <w:spacing w:val="-4"/>
                <w:szCs w:val="21"/>
              </w:rPr>
              <w:t>×</w:t>
            </w:r>
            <w:r>
              <w:rPr>
                <w:rFonts w:hint="eastAsia" w:ascii="宋体" w:hAnsi="宋体" w:cs="仿宋_GB2312"/>
                <w:color w:val="000000"/>
                <w:szCs w:val="21"/>
              </w:rPr>
              <w:t>冠幅</w:t>
            </w:r>
            <w:r>
              <w:rPr>
                <w:rFonts w:ascii="宋体" w:hAnsi="宋体" w:cs="仿宋_GB2312"/>
                <w:color w:val="000000"/>
                <w:szCs w:val="21"/>
              </w:rPr>
              <w:t>20</w:t>
            </w:r>
            <w:r>
              <w:rPr>
                <w:rFonts w:hint="eastAsia" w:ascii="宋体" w:hAnsi="宋体" w:cs="仿宋_GB2312"/>
                <w:color w:val="000000"/>
                <w:spacing w:val="-4"/>
                <w:szCs w:val="21"/>
              </w:rPr>
              <w:t>×</w:t>
            </w:r>
            <w:r>
              <w:rPr>
                <w:rFonts w:ascii="宋体" w:hAnsi="宋体" w:cs="仿宋_GB2312"/>
                <w:color w:val="000000"/>
                <w:szCs w:val="21"/>
              </w:rPr>
              <w:t>15cm</w:t>
            </w:r>
            <w:r>
              <w:rPr>
                <w:rFonts w:hint="eastAsia" w:ascii="宋体" w:hAnsi="宋体" w:cs="仿宋_GB2312"/>
                <w:color w:val="000000"/>
                <w:szCs w:val="21"/>
              </w:rPr>
              <w:t>，且乔灌木种植面积占绿化面积不得低于</w:t>
            </w:r>
            <w:r>
              <w:rPr>
                <w:rFonts w:ascii="宋体" w:hAnsi="宋体" w:cs="仿宋_GB2312"/>
                <w:color w:val="000000"/>
                <w:szCs w:val="21"/>
              </w:rPr>
              <w:t>15%</w:t>
            </w:r>
            <w:r>
              <w:rPr>
                <w:rFonts w:hint="eastAsia" w:ascii="宋体" w:hAnsi="宋体" w:cs="仿宋_GB2312"/>
                <w:color w:val="000000"/>
                <w:szCs w:val="21"/>
              </w:rPr>
              <w:t>。（</w:t>
            </w:r>
            <w:r>
              <w:rPr>
                <w:rFonts w:ascii="宋体" w:hAnsi="宋体" w:cs="仿宋_GB2312"/>
                <w:color w:val="000000"/>
                <w:szCs w:val="21"/>
              </w:rPr>
              <w:t>2</w:t>
            </w:r>
            <w:r>
              <w:rPr>
                <w:rFonts w:hint="eastAsia" w:ascii="宋体" w:hAnsi="宋体" w:cs="仿宋_GB2312"/>
                <w:color w:val="000000"/>
                <w:szCs w:val="21"/>
              </w:rPr>
              <w:t>）社区智能，通信系统设备安装，监控系统安装，有线电视系统设备安装、停车场管理系统及室外交通设施等所有室外智能线路铺设及设备安装。（</w:t>
            </w:r>
            <w:r>
              <w:rPr>
                <w:rFonts w:ascii="宋体" w:hAnsi="宋体" w:cs="仿宋_GB2312"/>
                <w:color w:val="000000"/>
                <w:szCs w:val="21"/>
              </w:rPr>
              <w:t>3</w:t>
            </w:r>
            <w:r>
              <w:rPr>
                <w:rFonts w:hint="eastAsia" w:ascii="宋体" w:hAnsi="宋体" w:cs="仿宋_GB2312"/>
                <w:color w:val="000000"/>
                <w:szCs w:val="21"/>
              </w:rPr>
              <w:t>）社区管网，室外所有管道安装，阀门、水表安装、阀门井制作。（</w:t>
            </w:r>
            <w:r>
              <w:rPr>
                <w:rFonts w:ascii="宋体" w:hAnsi="宋体" w:cs="仿宋_GB2312"/>
                <w:color w:val="000000"/>
                <w:szCs w:val="21"/>
              </w:rPr>
              <w:t>4</w:t>
            </w:r>
            <w:r>
              <w:rPr>
                <w:rFonts w:hint="eastAsia" w:ascii="宋体" w:hAnsi="宋体" w:cs="仿宋_GB2312"/>
                <w:color w:val="000000"/>
                <w:szCs w:val="21"/>
              </w:rPr>
              <w:t>）室外土建、园建及照明：包括室外道路（包括消防车道）、绿化种植土回填、室外铺装、挡墙、围墙、边坡、标识系统、照明、休闲活动场所等所有室外土建、园建。</w:t>
            </w:r>
          </w:p>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公共配套设施建设包括：小区居民共同使用或者建后产权归全体业主共有的附属及配套设施如设备用房、垃圾收集站、游泳池、网球场、篮球场等。</w:t>
            </w:r>
          </w:p>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基础设施建设费和公共配套设施建设费包括以上所有基础设施和公共配套设施的建设以及在建设过程中因设计变更等增加合同价款和合理的材料价差、施工过程所发生的检验检测、监测费及规费、保险费等。</w:t>
            </w:r>
          </w:p>
        </w:tc>
      </w:tr>
      <w:tr>
        <w:tblPrEx>
          <w:tblCellMar>
            <w:top w:w="0" w:type="dxa"/>
            <w:left w:w="108" w:type="dxa"/>
            <w:bottom w:w="0" w:type="dxa"/>
            <w:right w:w="108" w:type="dxa"/>
          </w:tblCellMar>
        </w:tblPrEx>
        <w:trPr>
          <w:trHeight w:val="28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ind w:left="-63" w:leftChars="-30" w:right="-63" w:rightChars="-30"/>
              <w:jc w:val="center"/>
              <w:rPr>
                <w:rFonts w:ascii="宋体" w:hAnsi="宋体" w:cs="仿宋_GB2312"/>
                <w:color w:val="000000"/>
                <w:szCs w:val="21"/>
              </w:rPr>
            </w:pPr>
            <w:r>
              <w:rPr>
                <w:rFonts w:ascii="宋体" w:hAnsi="宋体" w:cs="仿宋_GB2312"/>
                <w:color w:val="000000"/>
                <w:szCs w:val="21"/>
              </w:rPr>
              <w:t>4</w:t>
            </w:r>
          </w:p>
        </w:tc>
        <w:tc>
          <w:tcPr>
            <w:tcW w:w="1173"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其他费用</w:t>
            </w:r>
          </w:p>
        </w:tc>
        <w:tc>
          <w:tcPr>
            <w:tcW w:w="1665" w:type="dxa"/>
            <w:tcBorders>
              <w:top w:val="single" w:color="auto" w:sz="4" w:space="0"/>
              <w:left w:val="nil"/>
              <w:bottom w:val="single" w:color="auto" w:sz="4" w:space="0"/>
              <w:right w:val="single" w:color="auto" w:sz="4" w:space="0"/>
            </w:tcBorders>
            <w:noWrap w:val="0"/>
            <w:vAlign w:val="center"/>
          </w:tcPr>
          <w:p>
            <w:pPr>
              <w:keepNext/>
              <w:keepLines/>
              <w:widowControl/>
              <w:snapToGrid w:val="0"/>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见表</w:t>
            </w:r>
            <w:r>
              <w:rPr>
                <w:rFonts w:ascii="宋体" w:hAnsi="宋体" w:cs="仿宋_GB2312"/>
                <w:color w:val="000000"/>
                <w:szCs w:val="21"/>
              </w:rPr>
              <w:t>1-2</w:t>
            </w:r>
          </w:p>
        </w:tc>
        <w:tc>
          <w:tcPr>
            <w:tcW w:w="5761"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ind w:left="-63" w:leftChars="-30" w:right="-63" w:rightChars="-30"/>
              <w:rPr>
                <w:rFonts w:ascii="宋体" w:hAnsi="宋体" w:cs="仿宋_GB2312"/>
                <w:color w:val="000000"/>
                <w:szCs w:val="21"/>
              </w:rPr>
            </w:pPr>
            <w:r>
              <w:rPr>
                <w:rFonts w:hint="eastAsia" w:ascii="宋体" w:hAnsi="宋体"/>
                <w:color w:val="000000"/>
                <w:szCs w:val="21"/>
              </w:rPr>
              <w:t>监理费、白蚁防治费等。</w:t>
            </w:r>
          </w:p>
        </w:tc>
      </w:tr>
    </w:tbl>
    <w:p>
      <w:pPr>
        <w:snapToGrid w:val="0"/>
        <w:spacing w:before="62" w:beforeLines="20" w:line="300" w:lineRule="atLeast"/>
        <w:rPr>
          <w:rFonts w:hint="eastAsia" w:ascii="楷体_GB2312" w:hAnsi="宋体" w:eastAsia="楷体_GB2312" w:cs="仿宋_GB2312"/>
          <w:color w:val="000000"/>
          <w:szCs w:val="21"/>
        </w:rPr>
      </w:pPr>
      <w:r>
        <w:rPr>
          <w:rFonts w:hint="eastAsia" w:ascii="楷体_GB2312" w:hAnsi="宋体" w:eastAsia="楷体_GB2312" w:cs="仿宋_GB2312"/>
          <w:color w:val="000000"/>
          <w:szCs w:val="21"/>
        </w:rPr>
        <w:t>注：</w:t>
      </w:r>
    </w:p>
    <w:p>
      <w:pPr>
        <w:snapToGrid w:val="0"/>
        <w:spacing w:line="300" w:lineRule="atLeast"/>
        <w:ind w:firstLine="420" w:firstLineChars="200"/>
        <w:rPr>
          <w:rFonts w:hint="eastAsia" w:ascii="楷体_GB2312" w:hAnsi="宋体" w:eastAsia="楷体_GB2312" w:cs="仿宋_GB2312"/>
          <w:color w:val="000000"/>
          <w:szCs w:val="21"/>
        </w:rPr>
      </w:pPr>
      <w:r>
        <w:rPr>
          <w:rFonts w:hint="eastAsia" w:ascii="楷体_GB2312" w:hAnsi="宋体" w:eastAsia="楷体_GB2312" w:cs="仿宋_GB2312"/>
          <w:color w:val="000000"/>
          <w:szCs w:val="21"/>
        </w:rPr>
        <w:t>1．建设前期工程费及勘察设计费是以无复用或者无采用标准设计考虑，如工程设计中采用标准设计或者复用设计的，其建设前期工程费及勘察设计费应当为建安工程费、基础设施建设费用以及公共配套设施建设费的4.6%；采用标准设计或者复用设计但需要重新进行基础设计的，其建设前期工程费及勘察设计费应当为建安工程费、基础设施建设费用以及公共配套设施建设费的4.8%。</w:t>
      </w:r>
    </w:p>
    <w:p>
      <w:pPr>
        <w:snapToGrid w:val="0"/>
        <w:spacing w:line="300" w:lineRule="atLeast"/>
        <w:ind w:firstLine="420" w:firstLineChars="200"/>
        <w:rPr>
          <w:rFonts w:hint="eastAsia" w:ascii="楷体_GB2312" w:hAnsi="宋体" w:eastAsia="楷体_GB2312" w:cs="仿宋_GB2312"/>
          <w:color w:val="000000"/>
          <w:szCs w:val="21"/>
        </w:rPr>
      </w:pPr>
      <w:r>
        <w:rPr>
          <w:rFonts w:hint="eastAsia" w:ascii="楷体_GB2312" w:hAnsi="宋体" w:eastAsia="楷体_GB2312" w:cs="仿宋_GB2312"/>
          <w:color w:val="000000"/>
          <w:szCs w:val="21"/>
        </w:rPr>
        <w:t>2．下浮率按16%计算。</w:t>
      </w:r>
    </w:p>
    <w:p>
      <w:pPr>
        <w:snapToGrid w:val="0"/>
        <w:spacing w:line="300" w:lineRule="atLeast"/>
        <w:ind w:firstLine="420" w:firstLineChars="200"/>
        <w:rPr>
          <w:rFonts w:hint="eastAsia" w:ascii="楷体_GB2312" w:hAnsi="宋体" w:eastAsia="楷体_GB2312" w:cs="宋体"/>
          <w:color w:val="000000"/>
          <w:szCs w:val="21"/>
        </w:rPr>
      </w:pPr>
      <w:r>
        <w:rPr>
          <w:rFonts w:hint="eastAsia" w:ascii="楷体_GB2312" w:hAnsi="宋体" w:eastAsia="楷体_GB2312" w:cs="仿宋_GB2312"/>
          <w:color w:val="000000"/>
          <w:szCs w:val="21"/>
        </w:rPr>
        <w:t>3．收购房源属于以下情形时，经收购双方协商，基本建设费可以不参照此表测算。被收购方应当按工程结算审核要求提供收购房源相关工程资料，根据施工图套用计价标准计算基本建设费，并对计算结果下浮16%，如果收购房源的工程项目经深圳市交易集团有限公司公开招标的，按实际招标确定的下浮率计价：</w:t>
      </w:r>
    </w:p>
    <w:p>
      <w:pPr>
        <w:snapToGrid w:val="0"/>
        <w:spacing w:line="300" w:lineRule="atLeast"/>
        <w:ind w:firstLine="420" w:firstLineChars="200"/>
        <w:rPr>
          <w:rFonts w:hint="eastAsia" w:ascii="楷体_GB2312" w:hAnsi="宋体" w:eastAsia="楷体_GB2312" w:cs="仿宋_GB2312"/>
          <w:color w:val="000000"/>
          <w:szCs w:val="21"/>
        </w:rPr>
      </w:pPr>
      <w:r>
        <w:rPr>
          <w:rFonts w:hint="eastAsia" w:ascii="楷体_GB2312" w:hAnsi="宋体" w:eastAsia="楷体_GB2312" w:cs="仿宋_GB2312"/>
          <w:color w:val="000000"/>
          <w:szCs w:val="21"/>
        </w:rPr>
        <w:t>（1）因收购主体的要求，收购房源存在房屋外墙采用幕墙、房屋层高超出3.2米等情形；</w:t>
      </w:r>
    </w:p>
    <w:p>
      <w:pPr>
        <w:snapToGrid w:val="0"/>
        <w:spacing w:line="300" w:lineRule="atLeast"/>
        <w:ind w:firstLine="420" w:firstLineChars="200"/>
        <w:rPr>
          <w:rFonts w:hint="eastAsia" w:ascii="楷体_GB2312" w:hAnsi="宋体" w:eastAsia="楷体_GB2312" w:cs="仿宋_GB2312"/>
          <w:color w:val="000000"/>
          <w:szCs w:val="21"/>
        </w:rPr>
      </w:pPr>
      <w:r>
        <w:rPr>
          <w:rFonts w:hint="eastAsia" w:ascii="楷体_GB2312" w:hAnsi="宋体" w:eastAsia="楷体_GB2312" w:cs="仿宋_GB2312"/>
          <w:color w:val="000000"/>
          <w:szCs w:val="21"/>
        </w:rPr>
        <w:t>（2）地铁上盖的出租型公共住房。</w:t>
      </w:r>
    </w:p>
    <w:p>
      <w:pPr>
        <w:spacing w:line="300" w:lineRule="atLeast"/>
        <w:rPr>
          <w:rFonts w:hint="eastAsia" w:ascii="宋体" w:hAnsi="宋体"/>
          <w:sz w:val="36"/>
          <w:szCs w:val="36"/>
        </w:rPr>
        <w:sectPr>
          <w:headerReference r:id="rId3" w:type="default"/>
          <w:footerReference r:id="rId4" w:type="default"/>
          <w:footerReference r:id="rId5" w:type="even"/>
          <w:pgSz w:w="11906" w:h="16838"/>
          <w:pgMar w:top="2268" w:right="1418" w:bottom="2268" w:left="1588" w:header="1418" w:footer="1418" w:gutter="0"/>
          <w:pgNumType w:start="1"/>
          <w:cols w:space="425" w:num="1"/>
          <w:docGrid w:type="lines" w:linePitch="312" w:charSpace="0"/>
        </w:sectPr>
      </w:pPr>
    </w:p>
    <w:p>
      <w:pPr>
        <w:spacing w:before="93" w:beforeLines="30" w:line="396" w:lineRule="atLeast"/>
        <w:jc w:val="center"/>
        <w:rPr>
          <w:rFonts w:hint="eastAsia" w:ascii="黑体" w:eastAsia="黑体"/>
          <w:bCs/>
          <w:color w:val="000000"/>
          <w:sz w:val="24"/>
          <w:szCs w:val="24"/>
        </w:rPr>
      </w:pPr>
      <w:r>
        <w:rPr>
          <w:rFonts w:hint="eastAsia" w:ascii="黑体" w:hAnsi="宋体" w:eastAsia="黑体"/>
          <w:bCs/>
          <w:color w:val="000000"/>
          <w:sz w:val="24"/>
          <w:szCs w:val="24"/>
        </w:rPr>
        <w:t>表1-1  建筑安装工程及设备经济指标</w:t>
      </w:r>
    </w:p>
    <w:p>
      <w:pPr>
        <w:autoSpaceDE w:val="0"/>
        <w:spacing w:before="156" w:beforeLines="50" w:after="93" w:afterLines="30" w:line="396" w:lineRule="atLeast"/>
        <w:ind w:firstLine="464" w:firstLineChars="200"/>
        <w:rPr>
          <w:rFonts w:ascii="宋体" w:hAnsi="宋体"/>
          <w:color w:val="000000"/>
          <w:spacing w:val="-4"/>
          <w:kern w:val="0"/>
          <w:sz w:val="24"/>
          <w:szCs w:val="24"/>
        </w:rPr>
      </w:pPr>
      <w:r>
        <w:rPr>
          <w:rFonts w:hint="eastAsia" w:ascii="宋体" w:hAnsi="宋体"/>
          <w:color w:val="000000"/>
          <w:spacing w:val="-4"/>
          <w:kern w:val="0"/>
          <w:sz w:val="24"/>
          <w:szCs w:val="24"/>
        </w:rPr>
        <w:t>建筑安装工程费及设备费</w:t>
      </w:r>
      <w:r>
        <w:rPr>
          <w:rFonts w:ascii="宋体" w:hAnsi="宋体"/>
          <w:color w:val="000000"/>
          <w:spacing w:val="-4"/>
          <w:kern w:val="0"/>
          <w:sz w:val="24"/>
          <w:szCs w:val="24"/>
        </w:rPr>
        <w:t>＝</w:t>
      </w:r>
      <w:r>
        <w:rPr>
          <w:rFonts w:hint="eastAsia" w:ascii="宋体" w:hAnsi="宋体"/>
          <w:color w:val="000000"/>
          <w:spacing w:val="-4"/>
          <w:kern w:val="0"/>
          <w:sz w:val="24"/>
          <w:szCs w:val="24"/>
        </w:rPr>
        <w:t>建筑安装工程及设备经济指标×出租型公共住房收购面积。</w:t>
      </w:r>
    </w:p>
    <w:tbl>
      <w:tblPr>
        <w:tblStyle w:val="5"/>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60"/>
        <w:gridCol w:w="4856"/>
        <w:gridCol w:w="937"/>
        <w:gridCol w:w="2518"/>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序号</w:t>
            </w:r>
          </w:p>
        </w:tc>
        <w:tc>
          <w:tcPr>
            <w:tcW w:w="6416" w:type="dxa"/>
            <w:gridSpan w:val="2"/>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单位工程</w:t>
            </w:r>
          </w:p>
        </w:tc>
        <w:tc>
          <w:tcPr>
            <w:tcW w:w="937"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单位</w:t>
            </w: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单价</w:t>
            </w:r>
          </w:p>
        </w:tc>
        <w:tc>
          <w:tcPr>
            <w:tcW w:w="2839"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工程特征及工程范围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1</w:t>
            </w:r>
          </w:p>
        </w:tc>
        <w:tc>
          <w:tcPr>
            <w:tcW w:w="1560" w:type="dxa"/>
            <w:vMerge w:val="restart"/>
            <w:tcBorders>
              <w:top w:val="nil"/>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框剪结构</w:t>
            </w:r>
            <w:r>
              <w:rPr>
                <w:rFonts w:ascii="宋体" w:hAnsi="宋体"/>
                <w:color w:val="000000"/>
                <w:szCs w:val="21"/>
              </w:rPr>
              <w:t>25</w:t>
            </w:r>
            <w:r>
              <w:rPr>
                <w:rFonts w:hint="eastAsia" w:ascii="宋体" w:hAnsi="宋体"/>
                <w:color w:val="000000"/>
                <w:szCs w:val="21"/>
              </w:rPr>
              <w:t>层以上，建筑高度</w:t>
            </w:r>
            <w:r>
              <w:rPr>
                <w:rFonts w:ascii="宋体" w:hAnsi="宋体"/>
                <w:color w:val="000000"/>
                <w:szCs w:val="21"/>
              </w:rPr>
              <w:t>100</w:t>
            </w:r>
            <w:r>
              <w:rPr>
                <w:rFonts w:hint="eastAsia" w:ascii="宋体" w:hAnsi="宋体"/>
                <w:color w:val="000000"/>
                <w:szCs w:val="21"/>
              </w:rPr>
              <w:t>米（含</w:t>
            </w:r>
            <w:r>
              <w:rPr>
                <w:rFonts w:ascii="宋体" w:hAnsi="宋体"/>
                <w:color w:val="000000"/>
                <w:szCs w:val="21"/>
              </w:rPr>
              <w:t>100</w:t>
            </w:r>
            <w:r>
              <w:rPr>
                <w:rFonts w:hint="eastAsia" w:ascii="宋体" w:hAnsi="宋体"/>
                <w:color w:val="000000"/>
                <w:szCs w:val="21"/>
              </w:rPr>
              <w:t>米）以内的高层住宅</w:t>
            </w: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二层及多于二层地下室且基坑采用排桩或锚索支护（排桩或锚索支护面占总支护面积</w:t>
            </w:r>
            <w:r>
              <w:rPr>
                <w:rFonts w:ascii="宋体" w:hAnsi="宋体"/>
                <w:color w:val="000000"/>
                <w:szCs w:val="21"/>
              </w:rPr>
              <w:t>50%</w:t>
            </w:r>
            <w:r>
              <w:rPr>
                <w:rFonts w:hint="eastAsia" w:ascii="宋体" w:hAnsi="宋体"/>
                <w:color w:val="000000"/>
                <w:szCs w:val="21"/>
              </w:rPr>
              <w:t>以上）</w:t>
            </w:r>
          </w:p>
        </w:tc>
        <w:tc>
          <w:tcPr>
            <w:tcW w:w="937" w:type="dxa"/>
            <w:vMerge w:val="restart"/>
            <w:tcBorders>
              <w:top w:val="nil"/>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平方米住宅建筑面积</w:t>
            </w: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5415</w:t>
            </w:r>
          </w:p>
        </w:tc>
        <w:tc>
          <w:tcPr>
            <w:tcW w:w="2839" w:type="dxa"/>
            <w:vMerge w:val="restart"/>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除地下室外所有单位主体建筑及其附属结构，主要包括：</w:t>
            </w:r>
          </w:p>
          <w:p>
            <w:pPr>
              <w:autoSpaceDE w:val="0"/>
              <w:spacing w:line="310" w:lineRule="exact"/>
              <w:ind w:left="-63" w:leftChars="-30" w:right="-63" w:rightChars="-30"/>
              <w:rPr>
                <w:rFonts w:ascii="宋体" w:hAnsi="宋体"/>
                <w:color w:val="000000"/>
                <w:spacing w:val="-4"/>
                <w:szCs w:val="21"/>
              </w:rPr>
            </w:pPr>
            <w:r>
              <w:rPr>
                <w:rFonts w:hint="eastAsia" w:ascii="宋体" w:hAnsi="宋体"/>
                <w:color w:val="000000"/>
                <w:spacing w:val="-4"/>
                <w:szCs w:val="21"/>
              </w:rPr>
              <w:t>（1）土石方、基坑支护、桩基础、入户门（采用钢质防火门或其他）、门窗（铝合金或塑钢门窗或其他）、外墙面（涂料或砖或其他），以及住房公共区域装修、达到表</w:t>
            </w:r>
            <w:r>
              <w:rPr>
                <w:rFonts w:ascii="宋体" w:hAnsi="宋体"/>
                <w:color w:val="000000"/>
                <w:spacing w:val="-4"/>
                <w:szCs w:val="21"/>
              </w:rPr>
              <w:t>5-1</w:t>
            </w:r>
            <w:r>
              <w:rPr>
                <w:rFonts w:hint="eastAsia" w:ascii="宋体" w:hAnsi="宋体"/>
                <w:color w:val="000000"/>
                <w:spacing w:val="-4"/>
                <w:szCs w:val="21"/>
              </w:rPr>
              <w:t>规定标准的室内装修等所有建筑及附属结构；</w:t>
            </w:r>
          </w:p>
          <w:p>
            <w:pPr>
              <w:autoSpaceDE w:val="0"/>
              <w:spacing w:line="310" w:lineRule="exact"/>
              <w:ind w:left="-63" w:leftChars="-30" w:right="-63" w:rightChars="-30"/>
              <w:rPr>
                <w:rFonts w:ascii="宋体" w:hAnsi="宋体"/>
                <w:color w:val="000000"/>
                <w:szCs w:val="21"/>
              </w:rPr>
            </w:pPr>
            <w:r>
              <w:rPr>
                <w:rFonts w:hint="eastAsia" w:ascii="宋体" w:hAnsi="宋体"/>
                <w:color w:val="000000"/>
                <w:spacing w:val="-4"/>
                <w:szCs w:val="21"/>
              </w:rPr>
              <w:t>（2）安装部分：给排水、电气（高低压配电发电机组）、消防水、消防电、气体灭火系统、通风防排烟、通风空调、燃气、弱电（包括视频监控系统等）、电梯等所有安装设备工程，且管道铺设至室内。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2</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一层地下室且基坑采用排桩或锚索支护（排桩或锚索支护面占总支护面积</w:t>
            </w:r>
            <w:r>
              <w:rPr>
                <w:rFonts w:ascii="宋体" w:hAnsi="宋体"/>
                <w:color w:val="000000"/>
                <w:szCs w:val="21"/>
              </w:rPr>
              <w:t>50%</w:t>
            </w:r>
            <w:r>
              <w:rPr>
                <w:rFonts w:hint="eastAsia" w:ascii="宋体" w:hAnsi="宋体"/>
                <w:color w:val="000000"/>
                <w:szCs w:val="21"/>
              </w:rPr>
              <w:t>以上）</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5298</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3</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二层及多于二层地下室且基坑采用土钉、锚杆支护</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5255</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一层地下室基坑采用土钉、锚杆支护</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5225</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二层及多于二层地下室利用天然独立基础</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4919</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6</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一层地下室利用天然独立基础</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4802</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7</w:t>
            </w:r>
          </w:p>
        </w:tc>
        <w:tc>
          <w:tcPr>
            <w:tcW w:w="1560" w:type="dxa"/>
            <w:vMerge w:val="restart"/>
            <w:tcBorders>
              <w:top w:val="nil"/>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pacing w:val="-4"/>
                <w:szCs w:val="21"/>
              </w:rPr>
            </w:pPr>
            <w:r>
              <w:rPr>
                <w:rFonts w:hint="eastAsia" w:ascii="宋体" w:hAnsi="宋体"/>
                <w:color w:val="000000"/>
                <w:spacing w:val="-4"/>
                <w:szCs w:val="21"/>
              </w:rPr>
              <w:t>框剪结构</w:t>
            </w:r>
            <w:r>
              <w:rPr>
                <w:rFonts w:ascii="宋体" w:hAnsi="宋体"/>
                <w:color w:val="000000"/>
                <w:spacing w:val="-4"/>
                <w:szCs w:val="21"/>
              </w:rPr>
              <w:t>15</w:t>
            </w:r>
            <w:r>
              <w:rPr>
                <w:rFonts w:hint="eastAsia" w:ascii="宋体" w:hAnsi="宋体"/>
                <w:color w:val="000000"/>
                <w:spacing w:val="-4"/>
                <w:szCs w:val="21"/>
              </w:rPr>
              <w:t>－</w:t>
            </w:r>
            <w:r>
              <w:rPr>
                <w:rFonts w:ascii="宋体" w:hAnsi="宋体"/>
                <w:color w:val="000000"/>
                <w:spacing w:val="-4"/>
                <w:szCs w:val="21"/>
              </w:rPr>
              <w:t>24</w:t>
            </w:r>
            <w:r>
              <w:rPr>
                <w:rFonts w:hint="eastAsia" w:ascii="宋体" w:hAnsi="宋体"/>
                <w:color w:val="000000"/>
                <w:spacing w:val="-4"/>
                <w:szCs w:val="21"/>
              </w:rPr>
              <w:t>层高层住宅</w:t>
            </w: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二层及多于二层地下室且基坑采用排桩或锚索支护（排桩或锚索支护面占总支护面积</w:t>
            </w:r>
            <w:r>
              <w:rPr>
                <w:rFonts w:ascii="宋体" w:hAnsi="宋体"/>
                <w:color w:val="000000"/>
                <w:szCs w:val="21"/>
              </w:rPr>
              <w:t>50%</w:t>
            </w:r>
            <w:r>
              <w:rPr>
                <w:rFonts w:hint="eastAsia" w:ascii="宋体" w:hAnsi="宋体"/>
                <w:color w:val="000000"/>
                <w:szCs w:val="21"/>
              </w:rPr>
              <w:t>以上）</w:t>
            </w:r>
          </w:p>
        </w:tc>
        <w:tc>
          <w:tcPr>
            <w:tcW w:w="937" w:type="dxa"/>
            <w:vMerge w:val="restart"/>
            <w:tcBorders>
              <w:top w:val="nil"/>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平方米住宅建筑面积</w:t>
            </w: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5152</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8</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一层地下室且基坑采用排桩或锚索支护（排桩或锚索支护面占总支护面积</w:t>
            </w:r>
            <w:r>
              <w:rPr>
                <w:rFonts w:ascii="宋体" w:hAnsi="宋体"/>
                <w:color w:val="000000"/>
                <w:szCs w:val="21"/>
              </w:rPr>
              <w:t>50%</w:t>
            </w:r>
            <w:r>
              <w:rPr>
                <w:rFonts w:hint="eastAsia" w:ascii="宋体" w:hAnsi="宋体"/>
                <w:color w:val="000000"/>
                <w:szCs w:val="21"/>
              </w:rPr>
              <w:t>以上）</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5021</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9</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二层及多于二层地下室基坑采用土钉、锚杆支护</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4963</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10</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一层地下室基坑采用土钉、锚杆支护</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4846</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11</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二层及多于二层地下室利用天然独立基础</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4656</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12</w:t>
            </w:r>
          </w:p>
        </w:tc>
        <w:tc>
          <w:tcPr>
            <w:tcW w:w="1560"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4856"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一层地下室利用天然独立基础</w:t>
            </w:r>
          </w:p>
        </w:tc>
        <w:tc>
          <w:tcPr>
            <w:tcW w:w="937" w:type="dxa"/>
            <w:vMerge w:val="continue"/>
            <w:tcBorders>
              <w:top w:val="nil"/>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c>
          <w:tcPr>
            <w:tcW w:w="2518" w:type="dxa"/>
            <w:tcBorders>
              <w:top w:val="single" w:color="auto" w:sz="4" w:space="0"/>
              <w:left w:val="nil"/>
              <w:bottom w:val="nil"/>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4539</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13</w:t>
            </w:r>
          </w:p>
        </w:tc>
        <w:tc>
          <w:tcPr>
            <w:tcW w:w="6416" w:type="dxa"/>
            <w:gridSpan w:val="2"/>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框剪结构</w:t>
            </w:r>
            <w:r>
              <w:rPr>
                <w:rFonts w:ascii="宋体" w:hAnsi="宋体"/>
                <w:color w:val="000000"/>
                <w:szCs w:val="21"/>
              </w:rPr>
              <w:t>14</w:t>
            </w:r>
            <w:r>
              <w:rPr>
                <w:rFonts w:hint="eastAsia" w:ascii="宋体" w:hAnsi="宋体"/>
                <w:color w:val="000000"/>
                <w:szCs w:val="21"/>
              </w:rPr>
              <w:t>层以下住宅</w:t>
            </w:r>
          </w:p>
        </w:tc>
        <w:tc>
          <w:tcPr>
            <w:tcW w:w="937"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平方米住宅建筑面积</w:t>
            </w: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3722</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10" w:lineRule="exact"/>
              <w:ind w:left="-63" w:leftChars="-30" w:right="-63" w:rightChars="-30"/>
              <w:jc w:val="center"/>
              <w:rPr>
                <w:rFonts w:ascii="宋体" w:hAnsi="宋体"/>
                <w:color w:val="000000"/>
                <w:szCs w:val="21"/>
              </w:rPr>
            </w:pPr>
            <w:r>
              <w:rPr>
                <w:rFonts w:ascii="宋体" w:hAnsi="宋体"/>
                <w:color w:val="000000"/>
                <w:szCs w:val="21"/>
              </w:rPr>
              <w:t>14</w:t>
            </w:r>
          </w:p>
        </w:tc>
        <w:tc>
          <w:tcPr>
            <w:tcW w:w="6416" w:type="dxa"/>
            <w:gridSpan w:val="2"/>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超高层住宅（建筑高度</w:t>
            </w:r>
            <w:r>
              <w:rPr>
                <w:rFonts w:ascii="宋体" w:hAnsi="宋体"/>
                <w:color w:val="000000"/>
                <w:szCs w:val="21"/>
              </w:rPr>
              <w:t>100</w:t>
            </w:r>
            <w:r>
              <w:rPr>
                <w:rFonts w:hint="eastAsia" w:ascii="宋体" w:hAnsi="宋体"/>
                <w:color w:val="000000"/>
                <w:szCs w:val="21"/>
              </w:rPr>
              <w:t>米以上）</w:t>
            </w:r>
          </w:p>
        </w:tc>
        <w:tc>
          <w:tcPr>
            <w:tcW w:w="937"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平方米住宅建筑面积</w:t>
            </w: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10" w:lineRule="exact"/>
              <w:ind w:left="-63" w:leftChars="-30" w:right="-63" w:rightChars="-30"/>
              <w:rPr>
                <w:rFonts w:ascii="宋体" w:hAnsi="宋体"/>
                <w:color w:val="000000"/>
                <w:szCs w:val="21"/>
              </w:rPr>
            </w:pPr>
            <w:r>
              <w:rPr>
                <w:rFonts w:hint="eastAsia" w:ascii="宋体" w:hAnsi="宋体"/>
                <w:color w:val="000000"/>
                <w:szCs w:val="21"/>
              </w:rPr>
              <w:t>在</w:t>
            </w:r>
            <w:r>
              <w:rPr>
                <w:rFonts w:ascii="宋体" w:hAnsi="宋体"/>
                <w:color w:val="000000"/>
                <w:szCs w:val="21"/>
              </w:rPr>
              <w:t>25</w:t>
            </w:r>
            <w:r>
              <w:rPr>
                <w:rFonts w:hint="eastAsia" w:ascii="宋体" w:hAnsi="宋体"/>
                <w:color w:val="000000"/>
                <w:szCs w:val="21"/>
              </w:rPr>
              <w:t>层以上建筑高度</w:t>
            </w:r>
            <w:r>
              <w:rPr>
                <w:rFonts w:ascii="宋体" w:hAnsi="宋体"/>
                <w:color w:val="000000"/>
                <w:szCs w:val="21"/>
              </w:rPr>
              <w:t>100</w:t>
            </w:r>
            <w:r>
              <w:rPr>
                <w:rFonts w:hint="eastAsia" w:ascii="宋体" w:hAnsi="宋体"/>
                <w:color w:val="000000"/>
                <w:szCs w:val="21"/>
              </w:rPr>
              <w:t>米（含</w:t>
            </w:r>
            <w:r>
              <w:rPr>
                <w:rFonts w:ascii="宋体" w:hAnsi="宋体"/>
                <w:color w:val="000000"/>
                <w:szCs w:val="21"/>
              </w:rPr>
              <w:t>100</w:t>
            </w:r>
            <w:r>
              <w:rPr>
                <w:rFonts w:hint="eastAsia" w:ascii="宋体" w:hAnsi="宋体"/>
                <w:color w:val="000000"/>
                <w:szCs w:val="21"/>
              </w:rPr>
              <w:t>米）以内的同类别的单位工程的经济指标基础上上浮</w:t>
            </w:r>
            <w:r>
              <w:rPr>
                <w:rFonts w:ascii="宋体" w:hAnsi="宋体"/>
                <w:color w:val="000000"/>
                <w:szCs w:val="21"/>
              </w:rPr>
              <w:t>20%</w:t>
            </w:r>
          </w:p>
        </w:tc>
        <w:tc>
          <w:tcPr>
            <w:tcW w:w="2839" w:type="dxa"/>
            <w:vMerge w:val="continue"/>
            <w:tcBorders>
              <w:top w:val="single" w:color="auto" w:sz="4" w:space="0"/>
              <w:left w:val="nil"/>
              <w:bottom w:val="single" w:color="auto" w:sz="4" w:space="0"/>
              <w:right w:val="single" w:color="auto" w:sz="4" w:space="0"/>
            </w:tcBorders>
            <w:noWrap w:val="0"/>
            <w:vAlign w:val="center"/>
          </w:tcPr>
          <w:p>
            <w:pPr>
              <w:widowControl/>
              <w:spacing w:line="310" w:lineRule="exact"/>
              <w:ind w:left="-63" w:leftChars="-30" w:right="-63" w:rightChars="-30"/>
              <w:rPr>
                <w:rFonts w:ascii="宋体" w:hAnsi="宋体"/>
                <w:color w:val="000000"/>
                <w:szCs w:val="21"/>
              </w:rPr>
            </w:pPr>
          </w:p>
        </w:tc>
      </w:tr>
    </w:tbl>
    <w:p>
      <w:pPr>
        <w:spacing w:line="310" w:lineRule="exact"/>
        <w:rPr>
          <w:rFonts w:hint="eastAsia"/>
        </w:rPr>
      </w:pPr>
    </w:p>
    <w:tbl>
      <w:tblPr>
        <w:tblStyle w:val="5"/>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402"/>
        <w:gridCol w:w="4014"/>
        <w:gridCol w:w="937"/>
        <w:gridCol w:w="2518"/>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E w:val="0"/>
              <w:spacing w:line="320" w:lineRule="exact"/>
              <w:ind w:left="-63" w:leftChars="-30" w:right="-63" w:rightChars="-30"/>
              <w:jc w:val="center"/>
              <w:rPr>
                <w:rFonts w:hint="eastAsia" w:ascii="黑体" w:hAnsi="宋体" w:eastAsia="黑体"/>
                <w:color w:val="000000"/>
                <w:kern w:val="0"/>
                <w:szCs w:val="21"/>
              </w:rPr>
            </w:pPr>
            <w:r>
              <w:rPr>
                <w:rFonts w:hint="eastAsia" w:ascii="黑体" w:hAnsi="宋体" w:eastAsia="黑体"/>
                <w:color w:val="000000"/>
                <w:kern w:val="0"/>
                <w:szCs w:val="21"/>
              </w:rPr>
              <w:t>序号</w:t>
            </w:r>
          </w:p>
        </w:tc>
        <w:tc>
          <w:tcPr>
            <w:tcW w:w="6416" w:type="dxa"/>
            <w:gridSpan w:val="2"/>
            <w:tcBorders>
              <w:top w:val="single" w:color="auto" w:sz="4" w:space="0"/>
              <w:left w:val="nil"/>
              <w:bottom w:val="single" w:color="auto" w:sz="4" w:space="0"/>
              <w:right w:val="single" w:color="auto" w:sz="4" w:space="0"/>
            </w:tcBorders>
            <w:noWrap w:val="0"/>
            <w:vAlign w:val="center"/>
          </w:tcPr>
          <w:p>
            <w:pPr>
              <w:autoSpaceDE w:val="0"/>
              <w:spacing w:line="320" w:lineRule="exact"/>
              <w:ind w:left="-63" w:leftChars="-30" w:right="-63" w:rightChars="-30"/>
              <w:jc w:val="center"/>
              <w:rPr>
                <w:rFonts w:hint="eastAsia" w:ascii="黑体" w:hAnsi="宋体" w:eastAsia="黑体"/>
                <w:color w:val="000000"/>
                <w:kern w:val="0"/>
                <w:szCs w:val="21"/>
              </w:rPr>
            </w:pPr>
            <w:r>
              <w:rPr>
                <w:rFonts w:hint="eastAsia" w:ascii="黑体" w:hAnsi="宋体" w:eastAsia="黑体"/>
                <w:color w:val="000000"/>
                <w:kern w:val="0"/>
                <w:szCs w:val="21"/>
              </w:rPr>
              <w:t>单位工程</w:t>
            </w:r>
          </w:p>
        </w:tc>
        <w:tc>
          <w:tcPr>
            <w:tcW w:w="937" w:type="dxa"/>
            <w:tcBorders>
              <w:top w:val="single" w:color="auto" w:sz="4" w:space="0"/>
              <w:left w:val="nil"/>
              <w:bottom w:val="single" w:color="auto" w:sz="4" w:space="0"/>
              <w:right w:val="single" w:color="auto" w:sz="4" w:space="0"/>
            </w:tcBorders>
            <w:noWrap w:val="0"/>
            <w:vAlign w:val="center"/>
          </w:tcPr>
          <w:p>
            <w:pPr>
              <w:autoSpaceDE w:val="0"/>
              <w:spacing w:line="320" w:lineRule="exact"/>
              <w:ind w:left="-63" w:leftChars="-30" w:right="-63" w:rightChars="-30"/>
              <w:jc w:val="center"/>
              <w:rPr>
                <w:rFonts w:hint="eastAsia" w:ascii="黑体" w:hAnsi="宋体" w:eastAsia="黑体"/>
                <w:color w:val="000000"/>
                <w:kern w:val="0"/>
                <w:szCs w:val="21"/>
              </w:rPr>
            </w:pPr>
            <w:r>
              <w:rPr>
                <w:rFonts w:hint="eastAsia" w:ascii="黑体" w:hAnsi="宋体" w:eastAsia="黑体"/>
                <w:color w:val="000000"/>
                <w:kern w:val="0"/>
                <w:szCs w:val="21"/>
              </w:rPr>
              <w:t>单位</w:t>
            </w:r>
          </w:p>
        </w:tc>
        <w:tc>
          <w:tcPr>
            <w:tcW w:w="2518" w:type="dxa"/>
            <w:tcBorders>
              <w:top w:val="single" w:color="auto" w:sz="4" w:space="0"/>
              <w:left w:val="nil"/>
              <w:bottom w:val="single" w:color="auto" w:sz="4" w:space="0"/>
              <w:right w:val="single" w:color="auto" w:sz="4" w:space="0"/>
            </w:tcBorders>
            <w:noWrap w:val="0"/>
            <w:vAlign w:val="center"/>
          </w:tcPr>
          <w:p>
            <w:pPr>
              <w:autoSpaceDE w:val="0"/>
              <w:spacing w:line="320" w:lineRule="exact"/>
              <w:ind w:left="-63" w:leftChars="-30" w:right="-63" w:rightChars="-30"/>
              <w:jc w:val="center"/>
              <w:rPr>
                <w:rFonts w:hint="eastAsia" w:ascii="黑体" w:hAnsi="宋体" w:eastAsia="黑体"/>
                <w:color w:val="000000"/>
                <w:kern w:val="0"/>
                <w:szCs w:val="21"/>
              </w:rPr>
            </w:pPr>
            <w:r>
              <w:rPr>
                <w:rFonts w:hint="eastAsia" w:ascii="黑体" w:hAnsi="宋体" w:eastAsia="黑体"/>
                <w:color w:val="000000"/>
                <w:kern w:val="0"/>
                <w:szCs w:val="21"/>
              </w:rPr>
              <w:t>单价</w:t>
            </w:r>
          </w:p>
        </w:tc>
        <w:tc>
          <w:tcPr>
            <w:tcW w:w="2839" w:type="dxa"/>
            <w:tcBorders>
              <w:top w:val="single" w:color="auto" w:sz="4" w:space="0"/>
              <w:left w:val="nil"/>
              <w:bottom w:val="single" w:color="auto" w:sz="4" w:space="0"/>
              <w:right w:val="single" w:color="auto" w:sz="4" w:space="0"/>
            </w:tcBorders>
            <w:noWrap w:val="0"/>
            <w:vAlign w:val="center"/>
          </w:tcPr>
          <w:p>
            <w:pPr>
              <w:autoSpaceDE w:val="0"/>
              <w:spacing w:line="320" w:lineRule="exact"/>
              <w:ind w:left="-63" w:leftChars="-30" w:right="-63" w:rightChars="-30"/>
              <w:jc w:val="center"/>
              <w:rPr>
                <w:rFonts w:hint="eastAsia" w:ascii="黑体" w:hAnsi="宋体" w:eastAsia="黑体"/>
                <w:color w:val="000000"/>
                <w:kern w:val="0"/>
                <w:szCs w:val="21"/>
              </w:rPr>
            </w:pPr>
            <w:r>
              <w:rPr>
                <w:rFonts w:hint="eastAsia" w:ascii="黑体" w:hAnsi="宋体" w:eastAsia="黑体"/>
                <w:color w:val="000000"/>
                <w:kern w:val="0"/>
                <w:szCs w:val="21"/>
              </w:rPr>
              <w:t>工程特征及工程范围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30" w:type="dxa"/>
            <w:vMerge w:val="restart"/>
            <w:noWrap w:val="0"/>
            <w:vAlign w:val="center"/>
          </w:tcPr>
          <w:p>
            <w:pPr>
              <w:autoSpaceDE w:val="0"/>
              <w:spacing w:line="320" w:lineRule="exact"/>
              <w:ind w:left="-63" w:leftChars="-30" w:right="-63" w:rightChars="-30"/>
              <w:jc w:val="center"/>
              <w:rPr>
                <w:rFonts w:ascii="宋体" w:hAnsi="宋体"/>
                <w:color w:val="000000"/>
                <w:kern w:val="0"/>
                <w:szCs w:val="21"/>
              </w:rPr>
            </w:pPr>
            <w:r>
              <w:rPr>
                <w:rFonts w:ascii="宋体" w:hAnsi="宋体"/>
                <w:color w:val="000000"/>
                <w:szCs w:val="21"/>
              </w:rPr>
              <w:t>15</w:t>
            </w:r>
          </w:p>
        </w:tc>
        <w:tc>
          <w:tcPr>
            <w:tcW w:w="2402" w:type="dxa"/>
            <w:vMerge w:val="restart"/>
            <w:noWrap w:val="0"/>
            <w:vAlign w:val="center"/>
          </w:tcPr>
          <w:p>
            <w:pPr>
              <w:autoSpaceDE w:val="0"/>
              <w:spacing w:line="320" w:lineRule="exact"/>
              <w:ind w:left="-63" w:leftChars="-30" w:right="-63" w:rightChars="-30"/>
              <w:jc w:val="center"/>
              <w:rPr>
                <w:rFonts w:ascii="宋体" w:hAnsi="宋体"/>
                <w:color w:val="000000"/>
                <w:kern w:val="0"/>
                <w:szCs w:val="21"/>
              </w:rPr>
            </w:pPr>
            <w:r>
              <w:rPr>
                <w:rFonts w:hint="eastAsia" w:ascii="宋体" w:hAnsi="宋体"/>
                <w:color w:val="000000"/>
                <w:szCs w:val="21"/>
              </w:rPr>
              <w:t>地下室</w:t>
            </w:r>
          </w:p>
        </w:tc>
        <w:tc>
          <w:tcPr>
            <w:tcW w:w="4014" w:type="dxa"/>
            <w:noWrap w:val="0"/>
            <w:vAlign w:val="center"/>
          </w:tcPr>
          <w:p>
            <w:pPr>
              <w:autoSpaceDE w:val="0"/>
              <w:spacing w:line="320" w:lineRule="exact"/>
              <w:ind w:left="-63" w:leftChars="-30" w:right="-63" w:rightChars="-30"/>
              <w:rPr>
                <w:rFonts w:ascii="宋体" w:hAnsi="宋体"/>
                <w:color w:val="000000"/>
                <w:szCs w:val="21"/>
              </w:rPr>
            </w:pPr>
            <w:r>
              <w:rPr>
                <w:rFonts w:hint="eastAsia" w:ascii="宋体" w:hAnsi="宋体"/>
                <w:color w:val="000000"/>
                <w:szCs w:val="21"/>
              </w:rPr>
              <w:t>二层及多于二层地下室</w:t>
            </w:r>
          </w:p>
        </w:tc>
        <w:tc>
          <w:tcPr>
            <w:tcW w:w="937" w:type="dxa"/>
            <w:vMerge w:val="restart"/>
            <w:noWrap w:val="0"/>
            <w:vAlign w:val="center"/>
          </w:tcPr>
          <w:p>
            <w:pPr>
              <w:pStyle w:val="2"/>
              <w:autoSpaceDE w:val="0"/>
              <w:spacing w:line="320" w:lineRule="exact"/>
              <w:ind w:left="-63" w:leftChars="-30" w:right="-63" w:rightChars="-30"/>
              <w:rPr>
                <w:rFonts w:hAnsi="宋体"/>
                <w:color w:val="000000"/>
                <w:kern w:val="0"/>
                <w:szCs w:val="21"/>
              </w:rPr>
            </w:pPr>
            <w:r>
              <w:rPr>
                <w:rFonts w:hint="eastAsia" w:hAnsi="宋体"/>
                <w:color w:val="000000"/>
                <w:szCs w:val="21"/>
              </w:rPr>
              <w:t>元</w:t>
            </w:r>
            <w:r>
              <w:rPr>
                <w:rFonts w:hAnsi="宋体"/>
                <w:color w:val="000000"/>
                <w:szCs w:val="21"/>
              </w:rPr>
              <w:t>/</w:t>
            </w:r>
            <w:r>
              <w:rPr>
                <w:rFonts w:hint="eastAsia" w:hAnsi="宋体"/>
                <w:color w:val="000000"/>
                <w:szCs w:val="21"/>
              </w:rPr>
              <w:t>平方米地下室建筑面积</w:t>
            </w:r>
          </w:p>
        </w:tc>
        <w:tc>
          <w:tcPr>
            <w:tcW w:w="2518" w:type="dxa"/>
            <w:noWrap w:val="0"/>
            <w:vAlign w:val="center"/>
          </w:tcPr>
          <w:p>
            <w:pPr>
              <w:autoSpaceDE w:val="0"/>
              <w:spacing w:line="320" w:lineRule="exact"/>
              <w:ind w:left="-63" w:leftChars="-30" w:right="-63" w:rightChars="-30"/>
              <w:jc w:val="center"/>
              <w:rPr>
                <w:rFonts w:ascii="宋体" w:hAnsi="宋体"/>
                <w:color w:val="000000"/>
                <w:kern w:val="0"/>
                <w:szCs w:val="21"/>
              </w:rPr>
            </w:pPr>
            <w:r>
              <w:rPr>
                <w:rFonts w:ascii="宋体" w:hAnsi="宋体"/>
                <w:color w:val="000000"/>
                <w:kern w:val="0"/>
                <w:szCs w:val="21"/>
              </w:rPr>
              <w:t>3211</w:t>
            </w:r>
          </w:p>
        </w:tc>
        <w:tc>
          <w:tcPr>
            <w:tcW w:w="2839" w:type="dxa"/>
            <w:vMerge w:val="restart"/>
            <w:noWrap w:val="0"/>
            <w:vAlign w:val="center"/>
          </w:tcPr>
          <w:p>
            <w:pPr>
              <w:pStyle w:val="2"/>
              <w:spacing w:line="320" w:lineRule="exact"/>
              <w:ind w:left="-63" w:leftChars="-30" w:right="-63" w:rightChars="-30"/>
              <w:rPr>
                <w:rFonts w:hAnsi="宋体" w:cs="仿宋_GB2312"/>
                <w:color w:val="000000"/>
                <w:szCs w:val="21"/>
              </w:rPr>
            </w:pPr>
            <w:r>
              <w:rPr>
                <w:rFonts w:hint="eastAsia" w:hAnsi="宋体" w:cs="仿宋_GB2312"/>
                <w:color w:val="000000"/>
                <w:szCs w:val="21"/>
              </w:rPr>
              <w:t>包括地下室建筑及安装工程、人防工程、地下室车道出入口及其应当分摊的土方及桩基工程、车位装修、标识牌等。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30" w:type="dxa"/>
            <w:vMerge w:val="continue"/>
            <w:noWrap w:val="0"/>
            <w:vAlign w:val="center"/>
          </w:tcPr>
          <w:p>
            <w:pPr>
              <w:widowControl/>
              <w:spacing w:line="320" w:lineRule="exact"/>
              <w:ind w:left="-63" w:leftChars="-30" w:right="-63" w:rightChars="-30"/>
              <w:jc w:val="center"/>
              <w:rPr>
                <w:rFonts w:ascii="宋体" w:hAnsi="宋体"/>
                <w:color w:val="000000"/>
                <w:kern w:val="0"/>
                <w:szCs w:val="21"/>
              </w:rPr>
            </w:pPr>
          </w:p>
        </w:tc>
        <w:tc>
          <w:tcPr>
            <w:tcW w:w="2402" w:type="dxa"/>
            <w:vMerge w:val="continue"/>
            <w:noWrap w:val="0"/>
            <w:vAlign w:val="center"/>
          </w:tcPr>
          <w:p>
            <w:pPr>
              <w:widowControl/>
              <w:spacing w:line="320" w:lineRule="exact"/>
              <w:ind w:left="-63" w:leftChars="-30" w:right="-63" w:rightChars="-30"/>
              <w:rPr>
                <w:rFonts w:ascii="宋体" w:hAnsi="宋体"/>
                <w:color w:val="000000"/>
                <w:kern w:val="0"/>
                <w:szCs w:val="21"/>
              </w:rPr>
            </w:pPr>
          </w:p>
        </w:tc>
        <w:tc>
          <w:tcPr>
            <w:tcW w:w="4014" w:type="dxa"/>
            <w:noWrap w:val="0"/>
            <w:vAlign w:val="center"/>
          </w:tcPr>
          <w:p>
            <w:pPr>
              <w:pStyle w:val="2"/>
              <w:autoSpaceDE w:val="0"/>
              <w:spacing w:line="320" w:lineRule="exact"/>
              <w:ind w:left="-63" w:leftChars="-30" w:right="-63" w:rightChars="-30"/>
              <w:rPr>
                <w:rFonts w:hAnsi="宋体"/>
                <w:color w:val="000000"/>
                <w:szCs w:val="21"/>
              </w:rPr>
            </w:pPr>
            <w:r>
              <w:rPr>
                <w:rFonts w:hint="eastAsia" w:hAnsi="宋体"/>
                <w:color w:val="000000"/>
                <w:szCs w:val="21"/>
              </w:rPr>
              <w:t>一层地下室或半层地下室</w:t>
            </w:r>
          </w:p>
        </w:tc>
        <w:tc>
          <w:tcPr>
            <w:tcW w:w="937" w:type="dxa"/>
            <w:vMerge w:val="continue"/>
            <w:noWrap w:val="0"/>
            <w:vAlign w:val="center"/>
          </w:tcPr>
          <w:p>
            <w:pPr>
              <w:widowControl/>
              <w:spacing w:line="320" w:lineRule="exact"/>
              <w:ind w:left="-63" w:leftChars="-30" w:right="-63" w:rightChars="-30"/>
              <w:rPr>
                <w:rFonts w:ascii="宋体" w:hAnsi="宋体"/>
                <w:color w:val="000000"/>
                <w:kern w:val="0"/>
                <w:szCs w:val="21"/>
              </w:rPr>
            </w:pPr>
          </w:p>
        </w:tc>
        <w:tc>
          <w:tcPr>
            <w:tcW w:w="2518" w:type="dxa"/>
            <w:noWrap w:val="0"/>
            <w:vAlign w:val="center"/>
          </w:tcPr>
          <w:p>
            <w:pPr>
              <w:autoSpaceDE w:val="0"/>
              <w:spacing w:line="320" w:lineRule="exact"/>
              <w:ind w:left="-63" w:leftChars="-30" w:right="-63" w:rightChars="-30"/>
              <w:jc w:val="center"/>
              <w:rPr>
                <w:rFonts w:ascii="宋体" w:hAnsi="宋体"/>
                <w:color w:val="000000"/>
                <w:kern w:val="0"/>
                <w:szCs w:val="21"/>
              </w:rPr>
            </w:pPr>
            <w:r>
              <w:rPr>
                <w:rFonts w:ascii="宋体" w:hAnsi="宋体"/>
                <w:color w:val="000000"/>
                <w:kern w:val="0"/>
                <w:szCs w:val="21"/>
              </w:rPr>
              <w:t>3357</w:t>
            </w:r>
          </w:p>
        </w:tc>
        <w:tc>
          <w:tcPr>
            <w:tcW w:w="2839" w:type="dxa"/>
            <w:vMerge w:val="continue"/>
            <w:noWrap w:val="0"/>
            <w:vAlign w:val="center"/>
          </w:tcPr>
          <w:p>
            <w:pPr>
              <w:widowControl/>
              <w:spacing w:line="320" w:lineRule="exact"/>
              <w:ind w:left="-63" w:leftChars="-30" w:right="-63" w:rightChars="-30"/>
              <w:rPr>
                <w:rFonts w:ascii="宋体" w:hAnsi="宋体" w:cs="仿宋_GB2312"/>
                <w:color w:val="000000"/>
                <w:szCs w:val="21"/>
              </w:rPr>
            </w:pPr>
          </w:p>
        </w:tc>
      </w:tr>
    </w:tbl>
    <w:p>
      <w:pPr>
        <w:snapToGrid w:val="0"/>
        <w:spacing w:before="156" w:beforeLines="50" w:line="340" w:lineRule="atLeast"/>
        <w:rPr>
          <w:rFonts w:hint="eastAsia" w:ascii="楷体_GB2312" w:hAnsi="仿宋_GB2312" w:eastAsia="楷体_GB2312"/>
          <w:color w:val="000000"/>
        </w:rPr>
      </w:pPr>
      <w:r>
        <w:rPr>
          <w:rFonts w:hint="eastAsia" w:ascii="楷体_GB2312" w:hAnsi="仿宋_GB2312" w:eastAsia="楷体_GB2312"/>
          <w:color w:val="000000"/>
        </w:rPr>
        <w:t>注：</w:t>
      </w:r>
    </w:p>
    <w:p>
      <w:pPr>
        <w:snapToGrid w:val="0"/>
        <w:spacing w:line="340" w:lineRule="atLeast"/>
        <w:ind w:firstLine="420" w:firstLineChars="200"/>
        <w:rPr>
          <w:rFonts w:hint="eastAsia" w:ascii="楷体_GB2312" w:hAnsi="仿宋_GB2312" w:eastAsia="楷体_GB2312" w:cs="仿宋_GB2312"/>
          <w:color w:val="000000"/>
        </w:rPr>
      </w:pPr>
      <w:r>
        <w:rPr>
          <w:rFonts w:hint="eastAsia" w:ascii="楷体_GB2312" w:hAnsi="仿宋_GB2312" w:eastAsia="楷体_GB2312" w:cs="仿宋_GB2312"/>
          <w:color w:val="000000"/>
        </w:rPr>
        <w:t>1．依据收购出租型公共住房所在楼栋的总楼层数、地下室层数以及基坑支护施工特点选择对应的建筑安装工程及设备的经济指标。</w:t>
      </w:r>
    </w:p>
    <w:p>
      <w:pPr>
        <w:snapToGrid w:val="0"/>
        <w:spacing w:line="340" w:lineRule="atLeast"/>
        <w:ind w:firstLine="420" w:firstLineChars="200"/>
        <w:rPr>
          <w:rFonts w:hint="eastAsia" w:ascii="楷体_GB2312" w:hAnsi="仿宋_GB2312" w:eastAsia="楷体_GB2312" w:cs="仿宋_GB2312"/>
          <w:color w:val="000000"/>
        </w:rPr>
      </w:pPr>
      <w:r>
        <w:rPr>
          <w:rFonts w:hint="eastAsia" w:ascii="楷体_GB2312" w:hAnsi="仿宋_GB2312" w:eastAsia="楷体_GB2312" w:cs="仿宋_GB2312"/>
          <w:color w:val="000000"/>
        </w:rPr>
        <w:t>2．收购价格是否分摊地下室造价，按地下车库的收益归属哪一方判断：若地下车库收益归被收购方，则地下室造价不应分摊至收购价格；若地下车库收益归收购方，则地下室造价应分摊至收购价格，地下室造价按收购出租型公共住房的面积占宗地计容积率建筑面积（扣减服务于社区居民的公共配套建筑面积）的比例进行分摊。</w:t>
      </w:r>
    </w:p>
    <w:p>
      <w:pPr>
        <w:snapToGrid w:val="0"/>
        <w:spacing w:line="340" w:lineRule="atLeast"/>
        <w:ind w:firstLine="420" w:firstLineChars="200"/>
        <w:rPr>
          <w:rFonts w:hint="eastAsia" w:ascii="楷体_GB2312" w:hAnsi="仿宋_GB2312" w:eastAsia="楷体_GB2312" w:cs="仿宋_GB2312"/>
          <w:color w:val="000000"/>
        </w:rPr>
      </w:pPr>
      <w:r>
        <w:rPr>
          <w:rFonts w:hint="eastAsia" w:ascii="楷体_GB2312" w:hAnsi="仿宋_GB2312" w:eastAsia="楷体_GB2312" w:cs="仿宋_GB2312"/>
          <w:color w:val="000000"/>
        </w:rPr>
        <w:t>3．框剪结构14层以下住宅，如不包括电梯工程，则应在该经济指标基础上再扣减130元/平方米。</w:t>
      </w:r>
    </w:p>
    <w:p>
      <w:pPr>
        <w:snapToGrid w:val="0"/>
        <w:spacing w:line="340" w:lineRule="atLeast"/>
        <w:ind w:firstLine="420" w:firstLineChars="200"/>
        <w:rPr>
          <w:rFonts w:hint="eastAsia" w:ascii="楷体_GB2312" w:hAnsi="仿宋_GB2312" w:eastAsia="楷体_GB2312" w:cs="仿宋_GB2312"/>
          <w:color w:val="000000"/>
        </w:rPr>
      </w:pPr>
      <w:r>
        <w:rPr>
          <w:rFonts w:hint="eastAsia" w:ascii="楷体_GB2312" w:hAnsi="仿宋_GB2312" w:eastAsia="楷体_GB2312" w:cs="仿宋_GB2312"/>
          <w:color w:val="000000"/>
        </w:rPr>
        <w:t>4．表中的经济指标未含太阳能热水系统和中水系统，如收购项目含有太阳能热水系统和中水系统，则其价格另算，中水系统按33.69元/平方米计算，太阳能热水系统按76.39元/平方米计算，中水系统按收购住宅的总建筑面积计算收购价格，太阳能热水系统按收购住宅中太阳能热水服务覆盖的房屋建筑面积计算收购价格。</w:t>
      </w:r>
    </w:p>
    <w:p>
      <w:pPr>
        <w:snapToGrid w:val="0"/>
        <w:spacing w:line="340" w:lineRule="atLeast"/>
        <w:ind w:firstLine="420" w:firstLineChars="200"/>
        <w:rPr>
          <w:rFonts w:hint="eastAsia" w:ascii="楷体_GB2312" w:hAnsi="仿宋_GB2312" w:eastAsia="楷体_GB2312" w:cs="仿宋_GB2312"/>
          <w:color w:val="000000"/>
        </w:rPr>
      </w:pPr>
      <w:r>
        <w:rPr>
          <w:rFonts w:hint="eastAsia" w:ascii="楷体_GB2312" w:hAnsi="仿宋_GB2312" w:eastAsia="楷体_GB2312" w:cs="仿宋_GB2312"/>
          <w:color w:val="000000"/>
        </w:rPr>
        <w:t>5．装配式建筑根据其工程特征套用表中相应指标。</w:t>
      </w:r>
    </w:p>
    <w:p>
      <w:pPr>
        <w:snapToGrid w:val="0"/>
        <w:spacing w:line="340" w:lineRule="atLeast"/>
        <w:ind w:firstLine="420" w:firstLineChars="200"/>
        <w:rPr>
          <w:rFonts w:hint="eastAsia" w:ascii="楷体_GB2312" w:hAnsi="仿宋_GB2312" w:eastAsia="楷体_GB2312" w:cs="仿宋_GB2312"/>
          <w:color w:val="000000"/>
        </w:rPr>
      </w:pPr>
      <w:r>
        <w:rPr>
          <w:rFonts w:hint="eastAsia" w:ascii="楷体_GB2312" w:hAnsi="仿宋_GB2312" w:eastAsia="楷体_GB2312" w:cs="仿宋_GB2312"/>
          <w:color w:val="000000"/>
        </w:rPr>
        <w:t>6．表中经济指标对应的室内装修标准见表5-1。</w:t>
      </w:r>
    </w:p>
    <w:p>
      <w:pPr>
        <w:pStyle w:val="8"/>
        <w:ind w:firstLine="0" w:firstLineChars="0"/>
        <w:rPr>
          <w:rFonts w:hint="eastAsia" w:ascii="Times New Roman" w:hAnsi="Times New Roman"/>
        </w:rPr>
      </w:pPr>
    </w:p>
    <w:p>
      <w:pPr>
        <w:pStyle w:val="8"/>
        <w:ind w:firstLine="0" w:firstLineChars="0"/>
        <w:rPr>
          <w:rFonts w:hint="eastAsia" w:ascii="Times New Roman" w:hAnsi="Times New Roman"/>
        </w:rPr>
      </w:pPr>
    </w:p>
    <w:p>
      <w:pPr>
        <w:spacing w:line="0" w:lineRule="atLeast"/>
        <w:jc w:val="center"/>
        <w:rPr>
          <w:rFonts w:ascii="宋体" w:hAnsi="宋体"/>
          <w:sz w:val="36"/>
          <w:szCs w:val="36"/>
        </w:rPr>
        <w:sectPr>
          <w:headerReference r:id="rId6" w:type="default"/>
          <w:pgSz w:w="16838" w:h="11906" w:orient="landscape"/>
          <w:pgMar w:top="1418" w:right="1843" w:bottom="1418" w:left="1843" w:header="1304" w:footer="1304" w:gutter="0"/>
          <w:cols w:space="425" w:num="1"/>
          <w:docGrid w:type="lines" w:linePitch="312" w:charSpace="0"/>
        </w:sectPr>
      </w:pPr>
    </w:p>
    <w:p>
      <w:pPr>
        <w:spacing w:line="396" w:lineRule="atLeast"/>
        <w:jc w:val="center"/>
        <w:rPr>
          <w:rFonts w:hint="eastAsia" w:ascii="黑体" w:hAnsi="宋体" w:eastAsia="黑体"/>
          <w:sz w:val="24"/>
          <w:szCs w:val="24"/>
        </w:rPr>
      </w:pPr>
      <w:r>
        <w:rPr>
          <w:rFonts w:hint="eastAsia" w:ascii="黑体" w:hAnsi="宋体" w:eastAsia="黑体"/>
          <w:sz w:val="24"/>
          <w:szCs w:val="24"/>
        </w:rPr>
        <w:t>表</w:t>
      </w:r>
      <w:r>
        <w:rPr>
          <w:rFonts w:ascii="黑体" w:hAnsi="宋体" w:eastAsia="黑体"/>
          <w:sz w:val="24"/>
          <w:szCs w:val="24"/>
        </w:rPr>
        <w:t xml:space="preserve">1-2 </w:t>
      </w:r>
      <w:r>
        <w:rPr>
          <w:rFonts w:hint="eastAsia" w:ascii="黑体" w:hAnsi="宋体" w:eastAsia="黑体"/>
          <w:sz w:val="24"/>
          <w:szCs w:val="24"/>
        </w:rPr>
        <w:t xml:space="preserve"> 其他费用计算表</w:t>
      </w:r>
    </w:p>
    <w:p>
      <w:pPr>
        <w:autoSpaceDE w:val="0"/>
        <w:spacing w:before="156" w:beforeLines="50" w:after="156" w:afterLines="50" w:line="396" w:lineRule="atLeast"/>
        <w:ind w:firstLine="464" w:firstLineChars="200"/>
        <w:rPr>
          <w:rFonts w:ascii="宋体" w:hAnsi="宋体"/>
          <w:b/>
          <w:bCs/>
          <w:color w:val="000000"/>
          <w:sz w:val="24"/>
          <w:szCs w:val="24"/>
        </w:rPr>
      </w:pPr>
      <w:r>
        <w:rPr>
          <w:rFonts w:hint="eastAsia" w:ascii="宋体" w:hAnsi="宋体"/>
          <w:color w:val="000000"/>
          <w:spacing w:val="-4"/>
          <w:sz w:val="24"/>
          <w:szCs w:val="24"/>
        </w:rPr>
        <w:t>其他费用</w:t>
      </w:r>
      <w:r>
        <w:rPr>
          <w:rFonts w:ascii="宋体" w:hAnsi="宋体"/>
          <w:color w:val="000000"/>
          <w:spacing w:val="-4"/>
          <w:sz w:val="24"/>
          <w:szCs w:val="24"/>
        </w:rPr>
        <w:t>＝</w:t>
      </w:r>
      <w:r>
        <w:rPr>
          <w:rFonts w:hint="eastAsia" w:ascii="宋体" w:hAnsi="宋体"/>
          <w:color w:val="000000"/>
          <w:spacing w:val="-4"/>
          <w:sz w:val="24"/>
          <w:szCs w:val="24"/>
        </w:rPr>
        <w:t>费用单价×出租型公共住房收购面积。</w:t>
      </w:r>
    </w:p>
    <w:tbl>
      <w:tblPr>
        <w:tblStyle w:val="5"/>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510"/>
        <w:gridCol w:w="1454"/>
        <w:gridCol w:w="1305"/>
        <w:gridCol w:w="142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黑体" w:hAnsi="宋体" w:eastAsia="黑体"/>
                <w:color w:val="000000"/>
                <w:szCs w:val="21"/>
              </w:rPr>
            </w:pPr>
            <w:r>
              <w:rPr>
                <w:rFonts w:hint="eastAsia" w:ascii="黑体" w:hAnsi="宋体" w:eastAsia="黑体"/>
                <w:color w:val="000000"/>
                <w:szCs w:val="21"/>
              </w:rPr>
              <w:t>费用名称</w:t>
            </w:r>
          </w:p>
        </w:tc>
        <w:tc>
          <w:tcPr>
            <w:tcW w:w="3019"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黑体" w:hAnsi="宋体" w:eastAsia="黑体"/>
                <w:color w:val="000000"/>
                <w:szCs w:val="21"/>
              </w:rPr>
            </w:pPr>
            <w:r>
              <w:rPr>
                <w:rFonts w:hint="eastAsia" w:ascii="黑体" w:hAnsi="宋体" w:eastAsia="黑体"/>
                <w:color w:val="000000"/>
                <w:szCs w:val="21"/>
              </w:rPr>
              <w:t>分档计费</w:t>
            </w:r>
          </w:p>
        </w:tc>
        <w:tc>
          <w:tcPr>
            <w:tcW w:w="132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黑体" w:hAnsi="宋体" w:eastAsia="黑体"/>
                <w:color w:val="000000"/>
                <w:szCs w:val="21"/>
              </w:rPr>
            </w:pPr>
            <w:r>
              <w:rPr>
                <w:rFonts w:hint="eastAsia" w:ascii="黑体" w:hAnsi="宋体" w:eastAsia="黑体"/>
                <w:color w:val="000000"/>
                <w:szCs w:val="21"/>
              </w:rPr>
              <w:t>单位</w:t>
            </w: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黑体" w:hAnsi="宋体" w:eastAsia="黑体"/>
                <w:color w:val="000000"/>
                <w:szCs w:val="21"/>
              </w:rPr>
            </w:pPr>
            <w:r>
              <w:rPr>
                <w:rFonts w:hint="eastAsia" w:ascii="黑体" w:hAnsi="宋体" w:eastAsia="黑体"/>
                <w:color w:val="000000"/>
                <w:szCs w:val="21"/>
              </w:rPr>
              <w:t>费用单价</w:t>
            </w:r>
          </w:p>
        </w:tc>
        <w:tc>
          <w:tcPr>
            <w:tcW w:w="180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黑体" w:hAnsi="宋体" w:eastAsia="黑体"/>
                <w:color w:val="000000"/>
                <w:szCs w:val="21"/>
              </w:rPr>
            </w:pPr>
            <w:r>
              <w:rPr>
                <w:rFonts w:hint="eastAsia" w:ascii="黑体" w:hAnsi="宋体" w:eastAsia="黑体"/>
                <w:color w:val="000000"/>
                <w:szCs w:val="21"/>
              </w:rPr>
              <w:t>包含项目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hint="eastAsia" w:ascii="宋体" w:hAnsi="宋体"/>
                <w:color w:val="000000"/>
                <w:szCs w:val="21"/>
              </w:rPr>
              <w:t>其他费用</w:t>
            </w:r>
          </w:p>
        </w:tc>
        <w:tc>
          <w:tcPr>
            <w:tcW w:w="1538" w:type="dxa"/>
            <w:vMerge w:val="restart"/>
            <w:tcBorders>
              <w:top w:val="nil"/>
              <w:left w:val="nil"/>
              <w:bottom w:val="single" w:color="auto" w:sz="4" w:space="0"/>
              <w:right w:val="single" w:color="auto" w:sz="4" w:space="0"/>
            </w:tcBorders>
            <w:noWrap w:val="0"/>
            <w:vAlign w:val="center"/>
          </w:tcPr>
          <w:p>
            <w:pPr>
              <w:spacing w:line="260" w:lineRule="exact"/>
              <w:rPr>
                <w:rFonts w:ascii="宋体" w:hAnsi="宋体"/>
                <w:color w:val="000000"/>
                <w:szCs w:val="21"/>
              </w:rPr>
            </w:pPr>
            <w:r>
              <w:rPr>
                <w:rFonts w:hint="eastAsia" w:ascii="宋体" w:hAnsi="宋体"/>
                <w:color w:val="000000"/>
                <w:szCs w:val="21"/>
              </w:rPr>
              <w:t>宗地计容积率总建筑面积</w:t>
            </w:r>
          </w:p>
        </w:tc>
        <w:tc>
          <w:tcPr>
            <w:tcW w:w="148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10000</w:t>
            </w:r>
            <w:r>
              <w:rPr>
                <w:rFonts w:hint="eastAsia" w:ascii="宋体" w:hAnsi="宋体"/>
                <w:color w:val="000000"/>
                <w:szCs w:val="21"/>
              </w:rPr>
              <w:t>㎡</w:t>
            </w:r>
          </w:p>
        </w:tc>
        <w:tc>
          <w:tcPr>
            <w:tcW w:w="1329" w:type="dxa"/>
            <w:vMerge w:val="restart"/>
            <w:tcBorders>
              <w:top w:val="nil"/>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平方米</w:t>
            </w: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99</w:t>
            </w:r>
          </w:p>
        </w:tc>
        <w:tc>
          <w:tcPr>
            <w:tcW w:w="1807" w:type="dxa"/>
            <w:vMerge w:val="restart"/>
            <w:tcBorders>
              <w:top w:val="single" w:color="auto" w:sz="4" w:space="0"/>
              <w:left w:val="nil"/>
              <w:bottom w:val="single" w:color="auto" w:sz="4" w:space="0"/>
              <w:right w:val="single" w:color="auto" w:sz="4" w:space="0"/>
            </w:tcBorders>
            <w:noWrap w:val="0"/>
            <w:vAlign w:val="center"/>
          </w:tcPr>
          <w:p>
            <w:pPr>
              <w:spacing w:line="260" w:lineRule="exact"/>
              <w:rPr>
                <w:rFonts w:ascii="宋体" w:hAnsi="宋体"/>
                <w:color w:val="000000"/>
                <w:szCs w:val="21"/>
              </w:rPr>
            </w:pPr>
            <w:r>
              <w:rPr>
                <w:rFonts w:hint="eastAsia" w:ascii="宋体" w:hAnsi="宋体"/>
                <w:color w:val="000000"/>
                <w:szCs w:val="21"/>
              </w:rPr>
              <w:t>监理费、白蚁防治费等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538"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8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16600</w:t>
            </w:r>
            <w:r>
              <w:rPr>
                <w:rFonts w:hint="eastAsia" w:ascii="宋体" w:hAnsi="宋体"/>
                <w:color w:val="000000"/>
                <w:szCs w:val="21"/>
              </w:rPr>
              <w:t>㎡</w:t>
            </w:r>
          </w:p>
        </w:tc>
        <w:tc>
          <w:tcPr>
            <w:tcW w:w="1329"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93</w:t>
            </w:r>
          </w:p>
        </w:tc>
        <w:tc>
          <w:tcPr>
            <w:tcW w:w="180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538"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8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33300</w:t>
            </w:r>
            <w:r>
              <w:rPr>
                <w:rFonts w:hint="eastAsia" w:ascii="宋体" w:hAnsi="宋体"/>
                <w:color w:val="000000"/>
                <w:szCs w:val="21"/>
              </w:rPr>
              <w:t>㎡</w:t>
            </w:r>
          </w:p>
        </w:tc>
        <w:tc>
          <w:tcPr>
            <w:tcW w:w="1329"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84</w:t>
            </w:r>
          </w:p>
        </w:tc>
        <w:tc>
          <w:tcPr>
            <w:tcW w:w="180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538"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8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100000</w:t>
            </w:r>
            <w:r>
              <w:rPr>
                <w:rFonts w:hint="eastAsia" w:ascii="宋体" w:hAnsi="宋体"/>
                <w:color w:val="000000"/>
                <w:szCs w:val="21"/>
              </w:rPr>
              <w:t>㎡</w:t>
            </w:r>
          </w:p>
        </w:tc>
        <w:tc>
          <w:tcPr>
            <w:tcW w:w="1329"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75</w:t>
            </w:r>
          </w:p>
        </w:tc>
        <w:tc>
          <w:tcPr>
            <w:tcW w:w="180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538"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8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166600</w:t>
            </w:r>
            <w:r>
              <w:rPr>
                <w:rFonts w:hint="eastAsia" w:ascii="宋体" w:hAnsi="宋体"/>
                <w:color w:val="000000"/>
                <w:szCs w:val="21"/>
              </w:rPr>
              <w:t>㎡</w:t>
            </w:r>
          </w:p>
        </w:tc>
        <w:tc>
          <w:tcPr>
            <w:tcW w:w="1329"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65</w:t>
            </w:r>
          </w:p>
        </w:tc>
        <w:tc>
          <w:tcPr>
            <w:tcW w:w="180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90"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538"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8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333300</w:t>
            </w:r>
            <w:r>
              <w:rPr>
                <w:rFonts w:hint="eastAsia" w:ascii="宋体" w:hAnsi="宋体"/>
                <w:color w:val="000000"/>
                <w:szCs w:val="21"/>
              </w:rPr>
              <w:t>㎡</w:t>
            </w:r>
          </w:p>
        </w:tc>
        <w:tc>
          <w:tcPr>
            <w:tcW w:w="1329" w:type="dxa"/>
            <w:vMerge w:val="continue"/>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c>
          <w:tcPr>
            <w:tcW w:w="144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宋体" w:hAnsi="宋体"/>
                <w:color w:val="000000"/>
                <w:szCs w:val="21"/>
              </w:rPr>
            </w:pPr>
            <w:r>
              <w:rPr>
                <w:rFonts w:ascii="宋体" w:hAnsi="宋体"/>
                <w:color w:val="000000"/>
                <w:szCs w:val="21"/>
              </w:rPr>
              <w:t>54</w:t>
            </w:r>
          </w:p>
        </w:tc>
        <w:tc>
          <w:tcPr>
            <w:tcW w:w="180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szCs w:val="21"/>
              </w:rPr>
            </w:pPr>
          </w:p>
        </w:tc>
      </w:tr>
    </w:tbl>
    <w:p>
      <w:pPr>
        <w:spacing w:before="62" w:beforeLines="20" w:line="320" w:lineRule="atLeast"/>
        <w:ind w:firstLine="420" w:firstLineChars="200"/>
        <w:rPr>
          <w:rFonts w:hint="eastAsia" w:ascii="楷体_GB2312" w:hAnsi="宋体" w:eastAsia="楷体_GB2312"/>
          <w:color w:val="000000"/>
          <w:szCs w:val="21"/>
        </w:rPr>
      </w:pPr>
      <w:r>
        <w:rPr>
          <w:rFonts w:hint="eastAsia" w:ascii="楷体_GB2312" w:hAnsi="宋体" w:eastAsia="楷体_GB2312"/>
          <w:color w:val="000000"/>
          <w:szCs w:val="21"/>
        </w:rPr>
        <w:t>注：根据宗地计容积率总建筑面积采用插值法计算。</w:t>
      </w:r>
    </w:p>
    <w:p>
      <w:pPr>
        <w:spacing w:line="396" w:lineRule="atLeast"/>
        <w:ind w:firstLine="482" w:firstLineChars="200"/>
        <w:rPr>
          <w:rFonts w:hint="eastAsia" w:ascii="宋体" w:hAnsi="宋体"/>
          <w:b/>
          <w:bCs/>
          <w:color w:val="000000"/>
          <w:sz w:val="24"/>
          <w:szCs w:val="24"/>
        </w:rPr>
      </w:pPr>
    </w:p>
    <w:p>
      <w:pPr>
        <w:spacing w:line="396" w:lineRule="atLeast"/>
        <w:ind w:firstLine="482" w:firstLineChars="200"/>
        <w:rPr>
          <w:rFonts w:hint="eastAsia" w:ascii="宋体" w:hAnsi="宋体"/>
          <w:b/>
          <w:bCs/>
          <w:color w:val="000000"/>
          <w:sz w:val="24"/>
          <w:szCs w:val="24"/>
        </w:rPr>
      </w:pPr>
    </w:p>
    <w:p>
      <w:pPr>
        <w:spacing w:line="396" w:lineRule="atLeast"/>
        <w:ind w:firstLine="482" w:firstLineChars="200"/>
        <w:rPr>
          <w:rFonts w:hint="eastAsia" w:ascii="宋体" w:hAnsi="宋体"/>
          <w:b/>
          <w:bCs/>
          <w:color w:val="000000"/>
          <w:sz w:val="24"/>
          <w:szCs w:val="24"/>
        </w:rPr>
      </w:pPr>
    </w:p>
    <w:p>
      <w:pPr>
        <w:spacing w:line="396" w:lineRule="atLeast"/>
        <w:jc w:val="center"/>
        <w:rPr>
          <w:rFonts w:hint="eastAsia" w:ascii="黑体" w:hAnsi="宋体" w:eastAsia="黑体"/>
          <w:sz w:val="24"/>
          <w:szCs w:val="24"/>
        </w:rPr>
      </w:pPr>
      <w:r>
        <w:rPr>
          <w:rFonts w:hint="eastAsia" w:ascii="黑体" w:hAnsi="宋体" w:eastAsia="黑体"/>
          <w:sz w:val="24"/>
          <w:szCs w:val="24"/>
        </w:rPr>
        <w:t>Ⅱ  管理费计算方式</w:t>
      </w:r>
    </w:p>
    <w:p>
      <w:pPr>
        <w:autoSpaceDE w:val="0"/>
        <w:spacing w:before="156" w:beforeLines="50" w:after="156" w:afterLines="50" w:line="396" w:lineRule="atLeast"/>
        <w:ind w:firstLine="464" w:firstLineChars="200"/>
        <w:rPr>
          <w:rFonts w:ascii="宋体" w:hAnsi="宋体"/>
          <w:b/>
          <w:bCs/>
          <w:color w:val="000000"/>
          <w:sz w:val="24"/>
          <w:szCs w:val="24"/>
        </w:rPr>
      </w:pPr>
      <w:r>
        <w:rPr>
          <w:rFonts w:hint="eastAsia" w:ascii="宋体" w:hAnsi="宋体"/>
          <w:color w:val="000000"/>
          <w:spacing w:val="-4"/>
          <w:sz w:val="24"/>
          <w:szCs w:val="24"/>
        </w:rPr>
        <w:t>管理费</w:t>
      </w:r>
      <w:r>
        <w:rPr>
          <w:rFonts w:ascii="宋体" w:hAnsi="宋体"/>
          <w:color w:val="000000"/>
          <w:spacing w:val="-4"/>
          <w:sz w:val="24"/>
          <w:szCs w:val="24"/>
        </w:rPr>
        <w:t>＝</w:t>
      </w:r>
      <w:r>
        <w:rPr>
          <w:rFonts w:hint="eastAsia" w:ascii="宋体" w:hAnsi="宋体"/>
          <w:color w:val="000000"/>
          <w:spacing w:val="-4"/>
          <w:sz w:val="24"/>
          <w:szCs w:val="24"/>
        </w:rPr>
        <w:t>费用单价×出租型公共住房收购面积。</w:t>
      </w:r>
    </w:p>
    <w:tbl>
      <w:tblPr>
        <w:tblStyle w:val="5"/>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45"/>
        <w:gridCol w:w="2101"/>
        <w:gridCol w:w="232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费用名称</w:t>
            </w:r>
          </w:p>
        </w:tc>
        <w:tc>
          <w:tcPr>
            <w:tcW w:w="3305" w:type="dxa"/>
            <w:gridSpan w:val="2"/>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分档计费</w:t>
            </w:r>
          </w:p>
        </w:tc>
        <w:tc>
          <w:tcPr>
            <w:tcW w:w="236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费用单价（元/平方米）</w:t>
            </w:r>
          </w:p>
        </w:tc>
        <w:tc>
          <w:tcPr>
            <w:tcW w:w="2375"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取费依据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hint="eastAsia" w:ascii="宋体" w:hAnsi="宋体"/>
                <w:color w:val="000000"/>
                <w:szCs w:val="21"/>
              </w:rPr>
              <w:t>管理费</w:t>
            </w:r>
          </w:p>
        </w:tc>
        <w:tc>
          <w:tcPr>
            <w:tcW w:w="1164" w:type="dxa"/>
            <w:vMerge w:val="restart"/>
            <w:tcBorders>
              <w:top w:val="nil"/>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宗地计容积率总建筑面积</w:t>
            </w:r>
          </w:p>
        </w:tc>
        <w:tc>
          <w:tcPr>
            <w:tcW w:w="21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15001</w:t>
            </w:r>
            <w:r>
              <w:rPr>
                <w:rFonts w:hint="eastAsia" w:ascii="宋体" w:hAnsi="宋体"/>
                <w:color w:val="000000"/>
                <w:szCs w:val="21"/>
              </w:rPr>
              <w:t>－</w:t>
            </w:r>
            <w:r>
              <w:rPr>
                <w:rFonts w:ascii="宋体" w:hAnsi="宋体"/>
                <w:color w:val="000000"/>
                <w:szCs w:val="21"/>
              </w:rPr>
              <w:t>30000</w:t>
            </w:r>
            <w:r>
              <w:rPr>
                <w:rFonts w:hint="eastAsia" w:ascii="宋体" w:hAnsi="宋体"/>
                <w:color w:val="000000"/>
                <w:szCs w:val="21"/>
              </w:rPr>
              <w:t>㎡</w:t>
            </w:r>
          </w:p>
        </w:tc>
        <w:tc>
          <w:tcPr>
            <w:tcW w:w="236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44</w:t>
            </w:r>
            <w:r>
              <w:rPr>
                <w:rFonts w:hint="eastAsia" w:ascii="宋体" w:hAnsi="宋体"/>
                <w:color w:val="000000"/>
                <w:szCs w:val="21"/>
              </w:rPr>
              <w:t>－</w:t>
            </w:r>
            <w:r>
              <w:rPr>
                <w:rFonts w:ascii="宋体" w:hAnsi="宋体"/>
                <w:color w:val="000000"/>
                <w:szCs w:val="21"/>
              </w:rPr>
              <w:t>40</w:t>
            </w:r>
          </w:p>
        </w:tc>
        <w:tc>
          <w:tcPr>
            <w:tcW w:w="2375" w:type="dxa"/>
            <w:vMerge w:val="restart"/>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深财基〔</w:t>
            </w:r>
            <w:r>
              <w:rPr>
                <w:rFonts w:ascii="宋体" w:hAnsi="宋体"/>
                <w:color w:val="000000"/>
                <w:szCs w:val="21"/>
              </w:rPr>
              <w:t>2003</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号</w:t>
            </w:r>
          </w:p>
          <w:p>
            <w:pPr>
              <w:spacing w:line="260" w:lineRule="exact"/>
              <w:ind w:left="-63" w:leftChars="-30" w:right="-63" w:rightChars="-30"/>
              <w:rPr>
                <w:rFonts w:ascii="宋体" w:hAnsi="宋体"/>
                <w:color w:val="000000"/>
                <w:szCs w:val="21"/>
              </w:rPr>
            </w:pPr>
            <w:r>
              <w:rPr>
                <w:rFonts w:hint="eastAsia" w:ascii="宋体" w:hAnsi="宋体"/>
                <w:color w:val="000000"/>
                <w:szCs w:val="21"/>
              </w:rPr>
              <w:t>每档计费对应的单价用插值法计算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164"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21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30001</w:t>
            </w:r>
            <w:r>
              <w:rPr>
                <w:rFonts w:hint="eastAsia" w:ascii="宋体" w:hAnsi="宋体"/>
                <w:color w:val="000000"/>
                <w:szCs w:val="21"/>
              </w:rPr>
              <w:t>－</w:t>
            </w:r>
            <w:r>
              <w:rPr>
                <w:rFonts w:ascii="宋体" w:hAnsi="宋体"/>
                <w:color w:val="000000"/>
                <w:szCs w:val="21"/>
              </w:rPr>
              <w:t>150000</w:t>
            </w:r>
            <w:r>
              <w:rPr>
                <w:rFonts w:hint="eastAsia" w:ascii="宋体" w:hAnsi="宋体"/>
                <w:color w:val="000000"/>
                <w:szCs w:val="21"/>
              </w:rPr>
              <w:t>㎡</w:t>
            </w:r>
          </w:p>
        </w:tc>
        <w:tc>
          <w:tcPr>
            <w:tcW w:w="236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40</w:t>
            </w:r>
            <w:r>
              <w:rPr>
                <w:rFonts w:hint="eastAsia" w:ascii="宋体" w:hAnsi="宋体"/>
                <w:color w:val="000000"/>
                <w:szCs w:val="21"/>
              </w:rPr>
              <w:t>－</w:t>
            </w:r>
            <w:r>
              <w:rPr>
                <w:rFonts w:ascii="宋体" w:hAnsi="宋体"/>
                <w:color w:val="000000"/>
                <w:szCs w:val="21"/>
              </w:rPr>
              <w:t>30</w:t>
            </w:r>
          </w:p>
        </w:tc>
        <w:tc>
          <w:tcPr>
            <w:tcW w:w="2375"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164"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21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150001</w:t>
            </w:r>
            <w:r>
              <w:rPr>
                <w:rFonts w:hint="eastAsia" w:ascii="宋体" w:hAnsi="宋体"/>
                <w:color w:val="000000"/>
                <w:szCs w:val="21"/>
              </w:rPr>
              <w:t>－</w:t>
            </w:r>
            <w:r>
              <w:rPr>
                <w:rFonts w:ascii="宋体" w:hAnsi="宋体"/>
                <w:color w:val="000000"/>
                <w:szCs w:val="21"/>
              </w:rPr>
              <w:t>300000</w:t>
            </w:r>
            <w:r>
              <w:rPr>
                <w:rFonts w:hint="eastAsia" w:ascii="宋体" w:hAnsi="宋体"/>
                <w:color w:val="000000"/>
                <w:szCs w:val="21"/>
              </w:rPr>
              <w:t>㎡</w:t>
            </w:r>
          </w:p>
        </w:tc>
        <w:tc>
          <w:tcPr>
            <w:tcW w:w="236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30</w:t>
            </w:r>
            <w:r>
              <w:rPr>
                <w:rFonts w:hint="eastAsia" w:ascii="宋体" w:hAnsi="宋体"/>
                <w:color w:val="000000"/>
                <w:szCs w:val="21"/>
              </w:rPr>
              <w:t>－</w:t>
            </w:r>
            <w:r>
              <w:rPr>
                <w:rFonts w:ascii="宋体" w:hAnsi="宋体"/>
                <w:color w:val="000000"/>
                <w:szCs w:val="21"/>
              </w:rPr>
              <w:t>24</w:t>
            </w:r>
          </w:p>
        </w:tc>
        <w:tc>
          <w:tcPr>
            <w:tcW w:w="2375"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164"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214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300001</w:t>
            </w:r>
            <w:r>
              <w:rPr>
                <w:rFonts w:hint="eastAsia" w:ascii="宋体" w:hAnsi="宋体"/>
                <w:color w:val="000000"/>
                <w:szCs w:val="21"/>
              </w:rPr>
              <w:t>－</w:t>
            </w:r>
            <w:r>
              <w:rPr>
                <w:rFonts w:ascii="宋体" w:hAnsi="宋体"/>
                <w:color w:val="000000"/>
                <w:szCs w:val="21"/>
              </w:rPr>
              <w:t>600000</w:t>
            </w:r>
            <w:r>
              <w:rPr>
                <w:rFonts w:hint="eastAsia" w:ascii="宋体" w:hAnsi="宋体"/>
                <w:color w:val="000000"/>
                <w:szCs w:val="21"/>
              </w:rPr>
              <w:t>㎡</w:t>
            </w:r>
          </w:p>
        </w:tc>
        <w:tc>
          <w:tcPr>
            <w:tcW w:w="236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24</w:t>
            </w:r>
            <w:r>
              <w:rPr>
                <w:rFonts w:hint="eastAsia" w:ascii="宋体" w:hAnsi="宋体"/>
                <w:color w:val="000000"/>
                <w:szCs w:val="21"/>
              </w:rPr>
              <w:t>－</w:t>
            </w:r>
            <w:r>
              <w:rPr>
                <w:rFonts w:ascii="宋体" w:hAnsi="宋体"/>
                <w:color w:val="000000"/>
                <w:szCs w:val="21"/>
              </w:rPr>
              <w:t>15</w:t>
            </w:r>
          </w:p>
        </w:tc>
        <w:tc>
          <w:tcPr>
            <w:tcW w:w="2375"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r>
    </w:tbl>
    <w:p>
      <w:pPr>
        <w:spacing w:before="62" w:beforeLines="20" w:line="320" w:lineRule="atLeast"/>
        <w:ind w:firstLine="420" w:firstLineChars="200"/>
        <w:rPr>
          <w:rFonts w:ascii="楷体_GB2312" w:hAnsi="宋体" w:eastAsia="楷体_GB2312"/>
          <w:color w:val="000000"/>
          <w:szCs w:val="21"/>
        </w:rPr>
      </w:pPr>
      <w:r>
        <w:rPr>
          <w:rFonts w:hint="eastAsia" w:ascii="楷体_GB2312" w:hAnsi="宋体" w:eastAsia="楷体_GB2312"/>
          <w:color w:val="000000"/>
          <w:szCs w:val="21"/>
        </w:rPr>
        <w:t>注：依据收购项目所在宗地的建设规模选择对应的单价。</w:t>
      </w:r>
    </w:p>
    <w:p>
      <w:pPr>
        <w:spacing w:line="396" w:lineRule="atLeast"/>
        <w:ind w:firstLine="480" w:firstLineChars="200"/>
        <w:rPr>
          <w:rFonts w:hint="eastAsia" w:ascii="宋体" w:hAnsi="宋体"/>
          <w:color w:val="000000"/>
          <w:sz w:val="24"/>
          <w:szCs w:val="24"/>
        </w:rPr>
      </w:pPr>
    </w:p>
    <w:p>
      <w:pPr>
        <w:spacing w:line="396" w:lineRule="atLeast"/>
        <w:ind w:firstLine="480" w:firstLineChars="200"/>
        <w:rPr>
          <w:rFonts w:hint="eastAsia" w:ascii="宋体" w:hAnsi="宋体"/>
          <w:color w:val="000000"/>
          <w:sz w:val="24"/>
          <w:szCs w:val="24"/>
        </w:rPr>
      </w:pPr>
    </w:p>
    <w:p>
      <w:pPr>
        <w:spacing w:line="396" w:lineRule="atLeast"/>
        <w:ind w:firstLine="480" w:firstLineChars="200"/>
        <w:rPr>
          <w:rFonts w:hint="eastAsia" w:ascii="宋体" w:hAnsi="宋体"/>
          <w:color w:val="000000"/>
          <w:sz w:val="24"/>
          <w:szCs w:val="24"/>
        </w:rPr>
      </w:pPr>
    </w:p>
    <w:p>
      <w:pPr>
        <w:spacing w:line="396" w:lineRule="atLeast"/>
        <w:jc w:val="center"/>
        <w:rPr>
          <w:rFonts w:hint="eastAsia" w:ascii="黑体" w:hAnsi="宋体" w:eastAsia="黑体"/>
          <w:sz w:val="24"/>
          <w:szCs w:val="24"/>
        </w:rPr>
      </w:pPr>
      <w:r>
        <w:rPr>
          <w:rFonts w:hint="eastAsia" w:ascii="黑体" w:hAnsi="宋体" w:eastAsia="黑体"/>
          <w:sz w:val="24"/>
          <w:szCs w:val="24"/>
        </w:rPr>
        <w:t>Ⅲ  法定规费计算方式</w:t>
      </w:r>
    </w:p>
    <w:p>
      <w:pPr>
        <w:autoSpaceDE w:val="0"/>
        <w:spacing w:before="156" w:beforeLines="50" w:after="156" w:afterLines="50" w:line="396" w:lineRule="atLeast"/>
        <w:ind w:firstLine="464" w:firstLineChars="200"/>
        <w:rPr>
          <w:rFonts w:ascii="宋体" w:hAnsi="宋体"/>
          <w:color w:val="000000"/>
          <w:spacing w:val="-4"/>
          <w:sz w:val="24"/>
          <w:szCs w:val="24"/>
        </w:rPr>
      </w:pPr>
      <w:r>
        <w:rPr>
          <w:rFonts w:hint="eastAsia" w:ascii="宋体" w:hAnsi="宋体"/>
          <w:color w:val="000000"/>
          <w:spacing w:val="-4"/>
          <w:sz w:val="24"/>
          <w:szCs w:val="24"/>
        </w:rPr>
        <w:t>法定规费</w:t>
      </w:r>
      <w:r>
        <w:rPr>
          <w:rFonts w:ascii="宋体" w:hAnsi="宋体"/>
          <w:color w:val="000000"/>
          <w:spacing w:val="-4"/>
          <w:sz w:val="24"/>
          <w:szCs w:val="24"/>
        </w:rPr>
        <w:t>＝</w:t>
      </w:r>
      <w:r>
        <w:rPr>
          <w:rFonts w:hint="eastAsia" w:ascii="宋体" w:hAnsi="宋体"/>
          <w:color w:val="000000"/>
          <w:spacing w:val="-4"/>
          <w:sz w:val="24"/>
          <w:szCs w:val="24"/>
        </w:rPr>
        <w:t>费用单价×出租型公共住房收购面积。</w:t>
      </w:r>
    </w:p>
    <w:tbl>
      <w:tblPr>
        <w:tblStyle w:val="5"/>
        <w:tblW w:w="4950" w:type="pct"/>
        <w:jc w:val="center"/>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276"/>
        <w:gridCol w:w="1593"/>
        <w:gridCol w:w="1159"/>
        <w:gridCol w:w="3103"/>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费用名称</w:t>
            </w:r>
          </w:p>
        </w:tc>
        <w:tc>
          <w:tcPr>
            <w:tcW w:w="1248" w:type="dxa"/>
            <w:vMerge w:val="restart"/>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计算公式</w:t>
            </w:r>
          </w:p>
        </w:tc>
        <w:tc>
          <w:tcPr>
            <w:tcW w:w="5729" w:type="dxa"/>
            <w:gridSpan w:val="3"/>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其他</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olor w:val="000000"/>
                <w:szCs w:val="21"/>
              </w:rPr>
            </w:pPr>
          </w:p>
        </w:tc>
        <w:tc>
          <w:tcPr>
            <w:tcW w:w="1248"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olor w:val="000000"/>
                <w:szCs w:val="21"/>
              </w:rPr>
            </w:pPr>
          </w:p>
        </w:tc>
        <w:tc>
          <w:tcPr>
            <w:tcW w:w="1559"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计费单位</w:t>
            </w:r>
          </w:p>
        </w:tc>
        <w:tc>
          <w:tcPr>
            <w:tcW w:w="1134"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费用单价</w:t>
            </w:r>
          </w:p>
        </w:tc>
        <w:tc>
          <w:tcPr>
            <w:tcW w:w="303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取费依据</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53" w:type="dxa"/>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规费（包括：物业专项维修资金、建筑面积测绘等）</w:t>
            </w:r>
          </w:p>
        </w:tc>
        <w:tc>
          <w:tcPr>
            <w:tcW w:w="1248" w:type="dxa"/>
            <w:tcBorders>
              <w:top w:val="nil"/>
              <w:left w:val="nil"/>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olor w:val="000000"/>
                <w:szCs w:val="21"/>
              </w:rPr>
            </w:pPr>
            <w:r>
              <w:rPr>
                <w:rFonts w:hint="eastAsia" w:ascii="宋体" w:hAnsi="宋体"/>
                <w:color w:val="000000"/>
                <w:szCs w:val="21"/>
              </w:rPr>
              <w:t>直接套用费用单价</w:t>
            </w:r>
          </w:p>
        </w:tc>
        <w:tc>
          <w:tcPr>
            <w:tcW w:w="1559" w:type="dxa"/>
            <w:tcBorders>
              <w:top w:val="single" w:color="auto" w:sz="4" w:space="0"/>
              <w:left w:val="nil"/>
              <w:bottom w:val="single" w:color="auto" w:sz="2"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平方米</w:t>
            </w:r>
          </w:p>
          <w:p>
            <w:pPr>
              <w:spacing w:line="260" w:lineRule="exact"/>
              <w:ind w:left="-63" w:leftChars="-30" w:right="-63" w:rightChars="-30"/>
              <w:jc w:val="center"/>
              <w:rPr>
                <w:rFonts w:ascii="宋体" w:hAnsi="宋体"/>
                <w:b/>
                <w:bCs/>
                <w:color w:val="000000"/>
                <w:szCs w:val="21"/>
              </w:rPr>
            </w:pPr>
            <w:r>
              <w:rPr>
                <w:rFonts w:hint="eastAsia" w:ascii="宋体" w:hAnsi="宋体"/>
                <w:color w:val="000000"/>
                <w:szCs w:val="21"/>
              </w:rPr>
              <w:t>住宅建筑面积</w:t>
            </w:r>
          </w:p>
        </w:tc>
        <w:tc>
          <w:tcPr>
            <w:tcW w:w="1134" w:type="dxa"/>
            <w:tcBorders>
              <w:top w:val="single" w:color="auto" w:sz="4" w:space="0"/>
              <w:left w:val="nil"/>
              <w:bottom w:val="single" w:color="auto" w:sz="2" w:space="0"/>
              <w:right w:val="single" w:color="auto" w:sz="4" w:space="0"/>
            </w:tcBorders>
            <w:noWrap w:val="0"/>
            <w:vAlign w:val="center"/>
          </w:tcPr>
          <w:p>
            <w:pPr>
              <w:spacing w:line="260" w:lineRule="exact"/>
              <w:ind w:left="-63" w:leftChars="-30" w:right="-63" w:rightChars="-30"/>
              <w:jc w:val="center"/>
              <w:rPr>
                <w:rFonts w:ascii="宋体" w:hAnsi="宋体"/>
                <w:b/>
                <w:bCs/>
                <w:color w:val="000000"/>
                <w:szCs w:val="21"/>
              </w:rPr>
            </w:pPr>
            <w:r>
              <w:rPr>
                <w:rFonts w:ascii="宋体" w:hAnsi="宋体"/>
                <w:color w:val="000000"/>
                <w:szCs w:val="21"/>
              </w:rPr>
              <w:t>69</w:t>
            </w:r>
          </w:p>
        </w:tc>
        <w:tc>
          <w:tcPr>
            <w:tcW w:w="3036" w:type="dxa"/>
            <w:tcBorders>
              <w:top w:val="single" w:color="auto" w:sz="4" w:space="0"/>
              <w:left w:val="nil"/>
              <w:bottom w:val="single" w:color="auto" w:sz="2" w:space="0"/>
              <w:right w:val="single" w:color="auto" w:sz="4" w:space="0"/>
            </w:tcBorders>
            <w:noWrap w:val="0"/>
            <w:vAlign w:val="center"/>
          </w:tcPr>
          <w:p>
            <w:pPr>
              <w:spacing w:line="260" w:lineRule="exact"/>
              <w:ind w:left="-63" w:leftChars="-30" w:right="-63" w:rightChars="-30"/>
              <w:rPr>
                <w:rFonts w:hint="eastAsia" w:ascii="宋体" w:hAnsi="宋体"/>
                <w:color w:val="000000"/>
                <w:szCs w:val="21"/>
              </w:rPr>
            </w:pPr>
            <w:r>
              <w:rPr>
                <w:rFonts w:hint="eastAsia" w:ascii="宋体" w:hAnsi="宋体"/>
                <w:color w:val="000000"/>
                <w:szCs w:val="21"/>
              </w:rPr>
              <w:t>深建规〔</w:t>
            </w:r>
            <w:r>
              <w:rPr>
                <w:rFonts w:ascii="宋体" w:hAnsi="宋体"/>
                <w:color w:val="000000"/>
                <w:szCs w:val="21"/>
              </w:rPr>
              <w:t>2016</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号</w:t>
            </w:r>
          </w:p>
          <w:p>
            <w:pPr>
              <w:spacing w:line="260" w:lineRule="exact"/>
              <w:ind w:left="-63" w:leftChars="-30" w:right="-63" w:rightChars="-30"/>
              <w:rPr>
                <w:rFonts w:hint="eastAsia" w:ascii="宋体" w:hAnsi="宋体"/>
                <w:color w:val="000000"/>
                <w:szCs w:val="21"/>
              </w:rPr>
            </w:pPr>
            <w:r>
              <w:rPr>
                <w:rFonts w:hint="eastAsia" w:ascii="宋体" w:hAnsi="宋体"/>
                <w:color w:val="000000"/>
                <w:szCs w:val="21"/>
              </w:rPr>
              <w:t>粤价〔</w:t>
            </w:r>
            <w:r>
              <w:rPr>
                <w:rFonts w:ascii="宋体" w:hAnsi="宋体"/>
                <w:color w:val="000000"/>
                <w:szCs w:val="21"/>
              </w:rPr>
              <w:t>2007</w:t>
            </w:r>
            <w:r>
              <w:rPr>
                <w:rFonts w:hint="eastAsia" w:ascii="宋体" w:hAnsi="宋体"/>
                <w:color w:val="000000"/>
                <w:szCs w:val="21"/>
              </w:rPr>
              <w:t>〕</w:t>
            </w:r>
            <w:r>
              <w:rPr>
                <w:rFonts w:ascii="宋体" w:hAnsi="宋体"/>
                <w:color w:val="000000"/>
                <w:szCs w:val="21"/>
              </w:rPr>
              <w:t>193</w:t>
            </w:r>
            <w:r>
              <w:rPr>
                <w:rFonts w:hint="eastAsia" w:ascii="宋体" w:hAnsi="宋体"/>
                <w:color w:val="000000"/>
                <w:szCs w:val="21"/>
              </w:rPr>
              <w:t>号</w:t>
            </w:r>
          </w:p>
          <w:p>
            <w:pPr>
              <w:spacing w:line="260" w:lineRule="exact"/>
              <w:ind w:left="-63" w:leftChars="-30" w:right="-63" w:rightChars="-30"/>
              <w:rPr>
                <w:rFonts w:ascii="宋体" w:hAnsi="宋体"/>
                <w:b/>
                <w:bCs/>
                <w:color w:val="000000"/>
                <w:spacing w:val="-3"/>
                <w:szCs w:val="21"/>
              </w:rPr>
            </w:pPr>
            <w:r>
              <w:rPr>
                <w:rFonts w:hint="eastAsia" w:ascii="宋体" w:hAnsi="宋体"/>
                <w:color w:val="000000"/>
                <w:spacing w:val="-3"/>
                <w:szCs w:val="21"/>
              </w:rPr>
              <w:t>《关于制定我省房地产测绘收费标准的复函》（粤价函〔</w:t>
            </w:r>
            <w:r>
              <w:rPr>
                <w:rFonts w:ascii="宋体" w:hAnsi="宋体"/>
                <w:color w:val="000000"/>
                <w:spacing w:val="-3"/>
                <w:szCs w:val="21"/>
              </w:rPr>
              <w:t>1998</w:t>
            </w:r>
            <w:r>
              <w:rPr>
                <w:rFonts w:hint="eastAsia" w:ascii="宋体" w:hAnsi="宋体"/>
                <w:color w:val="000000"/>
                <w:spacing w:val="-3"/>
                <w:szCs w:val="21"/>
              </w:rPr>
              <w:t>〕</w:t>
            </w:r>
            <w:r>
              <w:rPr>
                <w:rFonts w:ascii="宋体" w:hAnsi="宋体"/>
                <w:color w:val="000000"/>
                <w:spacing w:val="-3"/>
                <w:szCs w:val="21"/>
              </w:rPr>
              <w:t>548</w:t>
            </w:r>
            <w:r>
              <w:rPr>
                <w:rFonts w:hint="eastAsia" w:ascii="宋体" w:hAnsi="宋体"/>
                <w:color w:val="000000"/>
                <w:spacing w:val="-3"/>
                <w:szCs w:val="21"/>
              </w:rPr>
              <w:t>号）</w:t>
            </w:r>
          </w:p>
        </w:tc>
      </w:tr>
    </w:tbl>
    <w:p>
      <w:pPr>
        <w:spacing w:after="156" w:afterLines="50" w:line="396" w:lineRule="atLeast"/>
        <w:jc w:val="center"/>
        <w:rPr>
          <w:rFonts w:ascii="黑体" w:hAnsi="宋体" w:eastAsia="黑体"/>
          <w:sz w:val="24"/>
          <w:szCs w:val="24"/>
        </w:rPr>
      </w:pPr>
      <w:r>
        <w:rPr>
          <w:rFonts w:hint="eastAsia" w:ascii="黑体" w:hAnsi="宋体" w:eastAsia="黑体"/>
          <w:sz w:val="24"/>
          <w:szCs w:val="24"/>
        </w:rPr>
        <w:t>第三部分</w:t>
      </w:r>
      <w:r>
        <w:rPr>
          <w:rFonts w:ascii="黑体" w:hAnsi="宋体" w:eastAsia="黑体"/>
          <w:sz w:val="24"/>
          <w:szCs w:val="24"/>
        </w:rPr>
        <w:t xml:space="preserve"> </w:t>
      </w:r>
      <w:r>
        <w:rPr>
          <w:rFonts w:hint="eastAsia" w:ascii="黑体" w:hAnsi="宋体" w:eastAsia="黑体"/>
          <w:sz w:val="24"/>
          <w:szCs w:val="24"/>
        </w:rPr>
        <w:t xml:space="preserve"> 资金成本计算方式</w:t>
      </w:r>
    </w:p>
    <w:tbl>
      <w:tblPr>
        <w:tblStyle w:val="5"/>
        <w:tblpPr w:leftFromText="180" w:rightFromText="180" w:vertAnchor="text" w:tblpXSpec="center" w:tblpY="1"/>
        <w:tblOverlap w:val="never"/>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833"/>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序号</w:t>
            </w:r>
          </w:p>
        </w:tc>
        <w:tc>
          <w:tcPr>
            <w:tcW w:w="1825"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收购价付款方式</w:t>
            </w:r>
          </w:p>
        </w:tc>
        <w:tc>
          <w:tcPr>
            <w:tcW w:w="6642"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计算规则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1</w:t>
            </w:r>
          </w:p>
        </w:tc>
        <w:tc>
          <w:tcPr>
            <w:tcW w:w="182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一次性支付</w:t>
            </w:r>
          </w:p>
        </w:tc>
        <w:tc>
          <w:tcPr>
            <w:tcW w:w="6642"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宋体" w:hAnsi="宋体"/>
                <w:color w:val="000000"/>
                <w:szCs w:val="21"/>
              </w:rPr>
            </w:pPr>
            <w:r>
              <w:rPr>
                <w:rFonts w:hint="eastAsia" w:ascii="仿宋_GB2312" w:hAnsi="宋体" w:eastAsia="仿宋_GB2312"/>
                <w:color w:val="000000"/>
              </w:rPr>
              <w:drawing>
                <wp:inline distT="0" distB="0" distL="114300" distR="114300">
                  <wp:extent cx="2028825" cy="5676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028825" cy="5676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w:t>
            </w:r>
          </w:p>
        </w:tc>
        <w:tc>
          <w:tcPr>
            <w:tcW w:w="1825"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建设期间分期支付收购款项的资金成本计算（扣减提前支付的款项利息）</w:t>
            </w:r>
          </w:p>
        </w:tc>
        <w:tc>
          <w:tcPr>
            <w:tcW w:w="6642" w:type="dxa"/>
            <w:tcBorders>
              <w:top w:val="single" w:color="auto" w:sz="4" w:space="0"/>
              <w:left w:val="nil"/>
              <w:bottom w:val="single" w:color="auto" w:sz="4" w:space="0"/>
              <w:right w:val="single" w:color="auto" w:sz="4" w:space="0"/>
            </w:tcBorders>
            <w:noWrap w:val="0"/>
            <w:vAlign w:val="center"/>
          </w:tcPr>
          <w:p>
            <w:pPr>
              <w:spacing w:line="240" w:lineRule="atLeast"/>
              <w:ind w:left="-63" w:leftChars="-30" w:right="-63" w:rightChars="-30"/>
              <w:rPr>
                <w:rFonts w:ascii="宋体" w:hAnsi="宋体"/>
                <w:color w:val="000000"/>
                <w:szCs w:val="21"/>
              </w:rPr>
            </w:pPr>
            <w:r>
              <w:rPr>
                <w:rFonts w:hint="eastAsia" w:ascii="仿宋_GB2312" w:hAnsi="宋体" w:eastAsia="仿宋_GB2312"/>
                <w:color w:val="000000"/>
                <w:position w:val="-30"/>
              </w:rPr>
              <w:drawing>
                <wp:inline distT="0" distB="0" distL="114300" distR="114300">
                  <wp:extent cx="4114800" cy="899160"/>
                  <wp:effectExtent l="0" t="0" r="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114800" cy="899160"/>
                          </a:xfrm>
                          <a:prstGeom prst="rect">
                            <a:avLst/>
                          </a:prstGeom>
                          <a:noFill/>
                          <a:ln>
                            <a:noFill/>
                          </a:ln>
                        </pic:spPr>
                      </pic:pic>
                    </a:graphicData>
                  </a:graphic>
                </wp:inline>
              </w:drawing>
            </w:r>
          </w:p>
        </w:tc>
      </w:tr>
    </w:tbl>
    <w:p>
      <w:pPr>
        <w:widowControl/>
        <w:spacing w:before="62" w:beforeLines="20" w:line="320" w:lineRule="atLeast"/>
        <w:rPr>
          <w:rFonts w:hint="eastAsia" w:ascii="楷体_GB2312" w:hAnsi="宋体" w:eastAsia="楷体_GB2312"/>
          <w:color w:val="000000"/>
          <w:szCs w:val="21"/>
        </w:rPr>
      </w:pPr>
      <w:r>
        <w:rPr>
          <w:rFonts w:hint="eastAsia" w:ascii="楷体_GB2312" w:hAnsi="宋体" w:eastAsia="楷体_GB2312"/>
          <w:color w:val="000000"/>
          <w:szCs w:val="21"/>
        </w:rPr>
        <w:t>注：</w:t>
      </w:r>
    </w:p>
    <w:p>
      <w:pPr>
        <w:widowControl/>
        <w:spacing w:line="320" w:lineRule="atLeast"/>
        <w:ind w:firstLine="420" w:firstLineChars="200"/>
        <w:rPr>
          <w:rFonts w:hint="eastAsia" w:ascii="楷体_GB2312" w:hAnsi="宋体" w:eastAsia="楷体_GB2312"/>
          <w:color w:val="000000"/>
          <w:szCs w:val="21"/>
        </w:rPr>
      </w:pPr>
      <w:r>
        <w:rPr>
          <w:rFonts w:hint="eastAsia" w:ascii="楷体_GB2312" w:hAnsi="宋体" w:eastAsia="楷体_GB2312"/>
          <w:color w:val="000000"/>
          <w:szCs w:val="21"/>
        </w:rPr>
        <w:t>1．</w:t>
      </w:r>
      <w:r>
        <w:rPr>
          <w:rFonts w:hint="eastAsia" w:ascii="楷体_GB2312" w:hAnsi="宋体" w:eastAsia="楷体_GB2312" w:cs="仿宋_GB2312"/>
          <w:color w:val="000000"/>
          <w:szCs w:val="21"/>
        </w:rPr>
        <w:t>I为资金成本，P为地价及建设成本；i为测算时点的一年期贷款市场报价利率（LPR），测算时点在2019年8月以前的，i取测算时点的3年期贷款基准利率；n为公共住房开发建设周期；P</w:t>
      </w:r>
      <w:r>
        <w:rPr>
          <w:rFonts w:hint="eastAsia" w:ascii="楷体_GB2312" w:hAnsi="宋体" w:eastAsia="楷体_GB2312" w:cs="仿宋_GB2312"/>
          <w:color w:val="000000"/>
          <w:szCs w:val="21"/>
          <w:vertAlign w:val="subscript"/>
        </w:rPr>
        <w:t>k</w:t>
      </w:r>
      <w:r>
        <w:rPr>
          <w:rFonts w:hint="eastAsia" w:ascii="楷体_GB2312" w:hAnsi="宋体" w:eastAsia="楷体_GB2312" w:cs="仿宋_GB2312"/>
          <w:color w:val="000000"/>
          <w:szCs w:val="21"/>
        </w:rPr>
        <w:t>为第k期预付款；n</w:t>
      </w:r>
      <w:r>
        <w:rPr>
          <w:rFonts w:hint="eastAsia" w:ascii="楷体_GB2312" w:hAnsi="宋体" w:eastAsia="楷体_GB2312" w:cs="仿宋_GB2312"/>
          <w:color w:val="000000"/>
          <w:szCs w:val="21"/>
          <w:vertAlign w:val="subscript"/>
        </w:rPr>
        <w:t>k</w:t>
      </w:r>
      <w:r>
        <w:rPr>
          <w:rFonts w:hint="eastAsia" w:ascii="楷体_GB2312" w:hAnsi="宋体" w:eastAsia="楷体_GB2312" w:cs="仿宋_GB2312"/>
          <w:color w:val="000000"/>
          <w:szCs w:val="21"/>
        </w:rPr>
        <w:t>为第k期预付款的计息期（是从支付时点起到开发结束的时间段）。</w:t>
      </w:r>
    </w:p>
    <w:p>
      <w:pPr>
        <w:spacing w:after="156" w:afterLines="50" w:line="320" w:lineRule="atLeast"/>
        <w:ind w:firstLine="420" w:firstLineChars="200"/>
        <w:rPr>
          <w:rFonts w:hint="eastAsia" w:ascii="楷体_GB2312" w:hAnsi="宋体" w:eastAsia="楷体_GB2312"/>
          <w:color w:val="000000"/>
          <w:szCs w:val="21"/>
        </w:rPr>
      </w:pPr>
      <w:r>
        <w:rPr>
          <w:rFonts w:hint="eastAsia" w:ascii="楷体_GB2312" w:hAnsi="宋体" w:eastAsia="楷体_GB2312"/>
          <w:color w:val="000000"/>
          <w:szCs w:val="21"/>
        </w:rPr>
        <w:t>2．开发期及分期支付的支付时点，详见下表。</w:t>
      </w:r>
    </w:p>
    <w:tbl>
      <w:tblPr>
        <w:tblStyle w:val="5"/>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1208"/>
        <w:gridCol w:w="385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收购的出租型公共住房建筑面积</w:t>
            </w:r>
          </w:p>
        </w:tc>
        <w:tc>
          <w:tcPr>
            <w:tcW w:w="122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整个开发期</w:t>
            </w:r>
          </w:p>
        </w:tc>
        <w:tc>
          <w:tcPr>
            <w:tcW w:w="4805" w:type="dxa"/>
            <w:gridSpan w:val="2"/>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分期支付的支付时点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50000</w:t>
            </w:r>
            <w:r>
              <w:rPr>
                <w:rFonts w:hint="eastAsia" w:ascii="宋体" w:hAnsi="宋体"/>
                <w:color w:val="000000"/>
                <w:szCs w:val="21"/>
              </w:rPr>
              <w:t>㎡以下</w:t>
            </w:r>
          </w:p>
        </w:tc>
        <w:tc>
          <w:tcPr>
            <w:tcW w:w="1228" w:type="dxa"/>
            <w:vMerge w:val="restart"/>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w:t>
            </w:r>
            <w:r>
              <w:rPr>
                <w:rFonts w:hint="eastAsia" w:ascii="宋体" w:hAnsi="宋体"/>
                <w:color w:val="000000"/>
                <w:szCs w:val="21"/>
              </w:rPr>
              <w:t>年</w:t>
            </w: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住宅主体工程±</w:t>
            </w:r>
            <w:r>
              <w:rPr>
                <w:rFonts w:ascii="宋体" w:hAnsi="宋体"/>
                <w:color w:val="000000"/>
                <w:szCs w:val="21"/>
              </w:rPr>
              <w:t>0.00</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8</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住宅主体封顶</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14</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取得竣工验收备案回执</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22</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项目移交且产权转移登记至收购主体</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24</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50001</w:t>
            </w:r>
            <w:r>
              <w:rPr>
                <w:rFonts w:hint="eastAsia" w:ascii="宋体" w:hAnsi="宋体"/>
                <w:color w:val="000000"/>
                <w:szCs w:val="21"/>
              </w:rPr>
              <w:t>㎡～</w:t>
            </w:r>
            <w:r>
              <w:rPr>
                <w:rFonts w:ascii="宋体" w:hAnsi="宋体"/>
                <w:color w:val="000000"/>
                <w:szCs w:val="21"/>
              </w:rPr>
              <w:t>200000</w:t>
            </w:r>
            <w:r>
              <w:rPr>
                <w:rFonts w:hint="eastAsia" w:ascii="宋体" w:hAnsi="宋体"/>
                <w:color w:val="000000"/>
                <w:szCs w:val="21"/>
              </w:rPr>
              <w:t>㎡</w:t>
            </w:r>
          </w:p>
        </w:tc>
        <w:tc>
          <w:tcPr>
            <w:tcW w:w="1228" w:type="dxa"/>
            <w:vMerge w:val="restart"/>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w:t>
            </w:r>
            <w:r>
              <w:rPr>
                <w:rFonts w:hint="eastAsia" w:ascii="宋体" w:hAnsi="宋体"/>
                <w:color w:val="000000"/>
                <w:szCs w:val="21"/>
              </w:rPr>
              <w:t>年</w:t>
            </w: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住宅主体工程±</w:t>
            </w:r>
            <w:r>
              <w:rPr>
                <w:rFonts w:ascii="宋体" w:hAnsi="宋体"/>
                <w:color w:val="000000"/>
                <w:szCs w:val="21"/>
              </w:rPr>
              <w:t>0.00</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12</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住宅主体封顶</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23</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取得竣工验收备案回执</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32</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项目移交且产权转移登记至收购主体</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36</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restart"/>
            <w:tcBorders>
              <w:top w:val="nil"/>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200001</w:t>
            </w:r>
            <w:r>
              <w:rPr>
                <w:rFonts w:hint="eastAsia" w:ascii="宋体" w:hAnsi="宋体"/>
                <w:color w:val="000000"/>
                <w:szCs w:val="21"/>
              </w:rPr>
              <w:t>㎡以上</w:t>
            </w:r>
          </w:p>
        </w:tc>
        <w:tc>
          <w:tcPr>
            <w:tcW w:w="1228" w:type="dxa"/>
            <w:vMerge w:val="restart"/>
            <w:tcBorders>
              <w:top w:val="nil"/>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4</w:t>
            </w:r>
            <w:r>
              <w:rPr>
                <w:rFonts w:hint="eastAsia" w:ascii="宋体" w:hAnsi="宋体"/>
                <w:color w:val="000000"/>
                <w:szCs w:val="21"/>
              </w:rPr>
              <w:t>年</w:t>
            </w: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住宅主体工程±</w:t>
            </w:r>
            <w:r>
              <w:rPr>
                <w:rFonts w:ascii="宋体" w:hAnsi="宋体"/>
                <w:color w:val="000000"/>
                <w:szCs w:val="21"/>
              </w:rPr>
              <w:t>0.00</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13</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住宅主体封顶</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24</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取得竣工验收备案回执</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34</w:t>
            </w:r>
            <w:r>
              <w:rPr>
                <w:rFonts w:hint="eastAsia" w:ascii="宋体" w:hAnsi="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2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1228" w:type="dxa"/>
            <w:vMerge w:val="continue"/>
            <w:tcBorders>
              <w:top w:val="nil"/>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olor w:val="000000"/>
                <w:szCs w:val="21"/>
              </w:rPr>
            </w:pPr>
          </w:p>
        </w:tc>
        <w:tc>
          <w:tcPr>
            <w:tcW w:w="3927"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项目移交且产权转移登记至收购主体</w:t>
            </w:r>
          </w:p>
        </w:tc>
        <w:tc>
          <w:tcPr>
            <w:tcW w:w="878"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ascii="宋体" w:hAnsi="宋体"/>
                <w:color w:val="000000"/>
                <w:szCs w:val="21"/>
              </w:rPr>
              <w:t>48</w:t>
            </w:r>
            <w:r>
              <w:rPr>
                <w:rFonts w:hint="eastAsia" w:ascii="宋体" w:hAnsi="宋体"/>
                <w:color w:val="000000"/>
                <w:szCs w:val="21"/>
              </w:rPr>
              <w:t>月</w:t>
            </w:r>
          </w:p>
        </w:tc>
      </w:tr>
    </w:tbl>
    <w:p>
      <w:pPr>
        <w:spacing w:line="396" w:lineRule="atLeast"/>
        <w:ind w:firstLine="482" w:firstLineChars="200"/>
        <w:rPr>
          <w:rFonts w:ascii="宋体" w:hAnsi="宋体"/>
          <w:b/>
          <w:bCs/>
          <w:color w:val="000000"/>
          <w:sz w:val="24"/>
          <w:szCs w:val="24"/>
        </w:rPr>
      </w:pPr>
    </w:p>
    <w:p>
      <w:pPr>
        <w:spacing w:line="396" w:lineRule="atLeast"/>
        <w:ind w:firstLine="482" w:firstLineChars="200"/>
        <w:rPr>
          <w:rFonts w:hint="eastAsia" w:ascii="宋体" w:hAnsi="宋体"/>
          <w:b/>
          <w:bCs/>
          <w:color w:val="000000"/>
          <w:sz w:val="24"/>
          <w:szCs w:val="24"/>
        </w:rPr>
      </w:pPr>
    </w:p>
    <w:p>
      <w:pPr>
        <w:spacing w:line="396" w:lineRule="atLeast"/>
        <w:ind w:firstLine="482" w:firstLineChars="200"/>
        <w:rPr>
          <w:rFonts w:hint="eastAsia" w:ascii="宋体" w:hAnsi="宋体"/>
          <w:b/>
          <w:bCs/>
          <w:color w:val="000000"/>
          <w:sz w:val="24"/>
          <w:szCs w:val="24"/>
        </w:rPr>
      </w:pPr>
    </w:p>
    <w:p>
      <w:pPr>
        <w:spacing w:after="156" w:afterLines="50" w:line="396" w:lineRule="atLeast"/>
        <w:jc w:val="center"/>
        <w:rPr>
          <w:rFonts w:ascii="黑体" w:hAnsi="宋体" w:eastAsia="黑体"/>
          <w:sz w:val="24"/>
          <w:szCs w:val="24"/>
        </w:rPr>
      </w:pPr>
      <w:r>
        <w:rPr>
          <w:rFonts w:hint="eastAsia" w:ascii="黑体" w:hAnsi="宋体" w:eastAsia="黑体"/>
          <w:sz w:val="24"/>
          <w:szCs w:val="24"/>
        </w:rPr>
        <w:t>第四部分  合理利润计算方式</w:t>
      </w:r>
    </w:p>
    <w:tbl>
      <w:tblPr>
        <w:tblStyle w:val="5"/>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791"/>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费用名称</w:t>
            </w:r>
          </w:p>
        </w:tc>
        <w:tc>
          <w:tcPr>
            <w:tcW w:w="280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计算公式</w:t>
            </w:r>
          </w:p>
        </w:tc>
        <w:tc>
          <w:tcPr>
            <w:tcW w:w="5255"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zCs w:val="21"/>
              </w:rPr>
            </w:pPr>
            <w:r>
              <w:rPr>
                <w:rFonts w:hint="eastAsia" w:ascii="宋体" w:hAnsi="宋体"/>
                <w:color w:val="000000"/>
                <w:szCs w:val="21"/>
              </w:rPr>
              <w:t>合理利润</w:t>
            </w:r>
          </w:p>
        </w:tc>
        <w:tc>
          <w:tcPr>
            <w:tcW w:w="280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olor w:val="000000"/>
                <w:spacing w:val="-2"/>
                <w:szCs w:val="21"/>
              </w:rPr>
            </w:pPr>
            <w:r>
              <w:rPr>
                <w:rFonts w:hint="eastAsia" w:ascii="宋体" w:hAnsi="宋体"/>
                <w:color w:val="000000"/>
                <w:spacing w:val="-2"/>
                <w:szCs w:val="21"/>
              </w:rPr>
              <w:t>（地价</w:t>
            </w:r>
            <w:r>
              <w:rPr>
                <w:rFonts w:ascii="宋体" w:hAnsi="宋体"/>
                <w:color w:val="000000"/>
                <w:spacing w:val="-2"/>
                <w:szCs w:val="21"/>
              </w:rPr>
              <w:t>＋</w:t>
            </w:r>
            <w:r>
              <w:rPr>
                <w:rFonts w:hint="eastAsia" w:ascii="宋体" w:hAnsi="宋体"/>
                <w:color w:val="000000"/>
                <w:spacing w:val="-2"/>
                <w:szCs w:val="21"/>
              </w:rPr>
              <w:t>建设成本）×利润率</w:t>
            </w:r>
          </w:p>
        </w:tc>
        <w:tc>
          <w:tcPr>
            <w:tcW w:w="5255"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利润率：按测算时点对应的一年期贷款市场报价利率（</w:t>
            </w:r>
            <w:r>
              <w:rPr>
                <w:rFonts w:ascii="宋体" w:hAnsi="宋体"/>
                <w:color w:val="000000"/>
                <w:szCs w:val="21"/>
              </w:rPr>
              <w:t>LPR</w:t>
            </w:r>
            <w:r>
              <w:rPr>
                <w:rFonts w:hint="eastAsia" w:ascii="宋体" w:hAnsi="宋体"/>
                <w:color w:val="000000"/>
                <w:szCs w:val="21"/>
              </w:rPr>
              <w:t>）确定，测算时点在</w:t>
            </w:r>
            <w:r>
              <w:rPr>
                <w:rFonts w:ascii="宋体" w:hAnsi="宋体"/>
                <w:color w:val="000000"/>
                <w:szCs w:val="21"/>
              </w:rPr>
              <w:t>2019</w:t>
            </w:r>
            <w:r>
              <w:rPr>
                <w:rFonts w:hint="eastAsia" w:ascii="宋体" w:hAnsi="宋体"/>
                <w:color w:val="000000"/>
                <w:szCs w:val="21"/>
              </w:rPr>
              <w:t>年</w:t>
            </w:r>
            <w:r>
              <w:rPr>
                <w:rFonts w:ascii="宋体" w:hAnsi="宋体"/>
                <w:color w:val="000000"/>
                <w:szCs w:val="21"/>
              </w:rPr>
              <w:t>8</w:t>
            </w:r>
            <w:r>
              <w:rPr>
                <w:rFonts w:hint="eastAsia" w:ascii="宋体" w:hAnsi="宋体"/>
                <w:color w:val="000000"/>
                <w:szCs w:val="21"/>
              </w:rPr>
              <w:t>月以前的，按测算时点</w:t>
            </w:r>
            <w:r>
              <w:rPr>
                <w:rFonts w:ascii="宋体" w:hAnsi="宋体"/>
                <w:color w:val="000000"/>
                <w:szCs w:val="21"/>
              </w:rPr>
              <w:t>1－3</w:t>
            </w:r>
            <w:r>
              <w:rPr>
                <w:rFonts w:hint="eastAsia" w:ascii="宋体" w:hAnsi="宋体"/>
                <w:color w:val="000000"/>
                <w:szCs w:val="21"/>
              </w:rPr>
              <w:t>年的贷款基准利率计算。</w:t>
            </w:r>
          </w:p>
        </w:tc>
      </w:tr>
    </w:tbl>
    <w:p>
      <w:pPr>
        <w:spacing w:line="396" w:lineRule="atLeast"/>
        <w:ind w:firstLine="482" w:firstLineChars="200"/>
        <w:rPr>
          <w:rFonts w:ascii="宋体" w:hAnsi="宋体"/>
          <w:b/>
          <w:bCs/>
          <w:color w:val="000000"/>
          <w:sz w:val="24"/>
          <w:szCs w:val="24"/>
        </w:rPr>
      </w:pPr>
    </w:p>
    <w:p>
      <w:pPr>
        <w:spacing w:after="156" w:afterLines="50" w:line="396" w:lineRule="atLeast"/>
        <w:jc w:val="center"/>
        <w:rPr>
          <w:rFonts w:ascii="黑体" w:hAnsi="宋体" w:eastAsia="黑体"/>
          <w:sz w:val="24"/>
          <w:szCs w:val="24"/>
        </w:rPr>
      </w:pPr>
      <w:r>
        <w:rPr>
          <w:rFonts w:hint="eastAsia" w:ascii="黑体" w:hAnsi="宋体" w:eastAsia="黑体"/>
          <w:sz w:val="24"/>
          <w:szCs w:val="24"/>
        </w:rPr>
        <w:t>第五部分</w:t>
      </w:r>
      <w:r>
        <w:rPr>
          <w:rFonts w:ascii="黑体" w:hAnsi="宋体" w:eastAsia="黑体"/>
          <w:sz w:val="24"/>
          <w:szCs w:val="24"/>
        </w:rPr>
        <w:t xml:space="preserve"> </w:t>
      </w:r>
      <w:r>
        <w:rPr>
          <w:rFonts w:hint="eastAsia" w:ascii="黑体" w:hAnsi="宋体" w:eastAsia="黑体"/>
          <w:sz w:val="24"/>
          <w:szCs w:val="24"/>
        </w:rPr>
        <w:t xml:space="preserve"> 户内装饰装修造价确定原则</w:t>
      </w:r>
    </w:p>
    <w:tbl>
      <w:tblPr>
        <w:tblStyle w:val="5"/>
        <w:tblW w:w="4950" w:type="pct"/>
        <w:jc w:val="center"/>
        <w:tblLayout w:type="fixed"/>
        <w:tblCellMar>
          <w:top w:w="0" w:type="dxa"/>
          <w:left w:w="108" w:type="dxa"/>
          <w:bottom w:w="0" w:type="dxa"/>
          <w:right w:w="108" w:type="dxa"/>
        </w:tblCellMar>
      </w:tblPr>
      <w:tblGrid>
        <w:gridCol w:w="1754"/>
        <w:gridCol w:w="7271"/>
      </w:tblGrid>
      <w:tr>
        <w:tblPrEx>
          <w:tblCellMar>
            <w:top w:w="0" w:type="dxa"/>
            <w:left w:w="108" w:type="dxa"/>
            <w:bottom w:w="0" w:type="dxa"/>
            <w:right w:w="108" w:type="dxa"/>
          </w:tblCellMar>
        </w:tblPrEx>
        <w:trPr>
          <w:trHeight w:val="284"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费用名称</w:t>
            </w:r>
          </w:p>
        </w:tc>
        <w:tc>
          <w:tcPr>
            <w:tcW w:w="7409"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确定原则</w:t>
            </w:r>
          </w:p>
        </w:tc>
      </w:tr>
      <w:tr>
        <w:tblPrEx>
          <w:tblCellMar>
            <w:top w:w="0" w:type="dxa"/>
            <w:left w:w="108" w:type="dxa"/>
            <w:bottom w:w="0" w:type="dxa"/>
            <w:right w:w="108" w:type="dxa"/>
          </w:tblCellMar>
        </w:tblPrEx>
        <w:trPr>
          <w:trHeight w:val="284"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pacing w:val="-2"/>
                <w:szCs w:val="21"/>
              </w:rPr>
            </w:pPr>
            <w:r>
              <w:rPr>
                <w:rFonts w:hint="eastAsia" w:ascii="宋体" w:hAnsi="宋体"/>
                <w:spacing w:val="-2"/>
                <w:szCs w:val="21"/>
              </w:rPr>
              <w:t>户内装饰装修造价</w:t>
            </w:r>
          </w:p>
        </w:tc>
        <w:tc>
          <w:tcPr>
            <w:tcW w:w="7409"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r>
              <w:rPr>
                <w:rFonts w:hint="eastAsia" w:ascii="宋体" w:hAnsi="宋体"/>
                <w:color w:val="000000"/>
                <w:szCs w:val="21"/>
              </w:rPr>
              <w:t>收购主体或者其委托机构按实际装饰装修配置审核户内装饰装修造价，装饰装修造价以审核的结果为准。审核的结果不再下浮，但应当计取法定税金。</w:t>
            </w:r>
          </w:p>
        </w:tc>
      </w:tr>
    </w:tbl>
    <w:p>
      <w:pPr>
        <w:spacing w:line="420" w:lineRule="atLeast"/>
        <w:ind w:firstLine="482" w:firstLineChars="200"/>
        <w:rPr>
          <w:rFonts w:hint="eastAsia" w:ascii="宋体" w:hAnsi="宋体"/>
          <w:b/>
          <w:bCs/>
          <w:color w:val="000000"/>
          <w:sz w:val="24"/>
          <w:szCs w:val="24"/>
        </w:rPr>
      </w:pPr>
    </w:p>
    <w:p>
      <w:pPr>
        <w:spacing w:line="420" w:lineRule="atLeast"/>
        <w:ind w:firstLine="482" w:firstLineChars="200"/>
        <w:rPr>
          <w:rFonts w:hint="eastAsia" w:ascii="宋体" w:hAnsi="宋体"/>
          <w:b/>
          <w:bCs/>
          <w:color w:val="000000"/>
          <w:sz w:val="24"/>
          <w:szCs w:val="24"/>
        </w:rPr>
      </w:pPr>
    </w:p>
    <w:p>
      <w:pPr>
        <w:spacing w:line="420" w:lineRule="atLeast"/>
        <w:ind w:firstLine="482" w:firstLineChars="200"/>
        <w:rPr>
          <w:rFonts w:hint="eastAsia" w:ascii="宋体" w:hAnsi="宋体"/>
          <w:b/>
          <w:bCs/>
          <w:color w:val="000000"/>
          <w:sz w:val="24"/>
          <w:szCs w:val="24"/>
        </w:rPr>
      </w:pPr>
    </w:p>
    <w:p>
      <w:pPr>
        <w:spacing w:after="156" w:afterLines="50" w:line="0" w:lineRule="atLeast"/>
        <w:jc w:val="center"/>
        <w:rPr>
          <w:rFonts w:hint="eastAsia" w:ascii="黑体" w:hAnsi="宋体" w:eastAsia="黑体"/>
          <w:bCs/>
          <w:color w:val="000000"/>
          <w:sz w:val="24"/>
          <w:szCs w:val="24"/>
        </w:rPr>
      </w:pPr>
      <w:r>
        <w:rPr>
          <w:rFonts w:hint="eastAsia" w:ascii="黑体" w:hAnsi="宋体" w:eastAsia="黑体"/>
          <w:bCs/>
          <w:color w:val="000000"/>
          <w:sz w:val="24"/>
          <w:szCs w:val="24"/>
        </w:rPr>
        <w:t>表5-1  建筑安装工程及设备经济指标对应的房屋室内装修标准</w:t>
      </w:r>
    </w:p>
    <w:tbl>
      <w:tblPr>
        <w:tblStyle w:val="5"/>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636"/>
        <w:gridCol w:w="1979"/>
        <w:gridCol w:w="1964"/>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260" w:lineRule="exact"/>
              <w:ind w:left="-63" w:leftChars="-30" w:right="-63" w:rightChars="-30"/>
              <w:jc w:val="center"/>
              <w:rPr>
                <w:rFonts w:hint="eastAsia" w:ascii="黑体" w:hAnsi="宋体" w:eastAsia="黑体" w:cs="仿宋_GB2312"/>
                <w:color w:val="000000"/>
                <w:szCs w:val="21"/>
              </w:rPr>
            </w:pPr>
            <w:r>
              <w:rPr>
                <w:rFonts w:hint="eastAsia" w:ascii="黑体" w:hAnsi="宋体" w:eastAsia="黑体" w:cs="仿宋_GB2312"/>
                <w:color w:val="000000"/>
                <w:szCs w:val="21"/>
              </w:rPr>
              <w:t xml:space="preserve">       室内部位</w:t>
            </w:r>
          </w:p>
          <w:p>
            <w:pPr>
              <w:spacing w:line="260" w:lineRule="exact"/>
              <w:ind w:left="-63" w:leftChars="-30" w:right="-63" w:rightChars="-30"/>
              <w:rPr>
                <w:rFonts w:hint="eastAsia" w:ascii="黑体" w:hAnsi="宋体" w:eastAsia="黑体" w:cs="仿宋_GB2312"/>
                <w:color w:val="000000"/>
                <w:szCs w:val="21"/>
              </w:rPr>
            </w:pPr>
            <w:r>
              <w:rPr>
                <w:rFonts w:hint="eastAsia" w:ascii="黑体" w:hAnsi="宋体" w:eastAsia="黑体" w:cs="仿宋_GB2312"/>
                <w:color w:val="000000"/>
                <w:szCs w:val="21"/>
              </w:rPr>
              <w:t>单项工程</w:t>
            </w:r>
          </w:p>
        </w:tc>
        <w:tc>
          <w:tcPr>
            <w:tcW w:w="166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s="仿宋_GB2312"/>
                <w:color w:val="000000"/>
                <w:szCs w:val="21"/>
              </w:rPr>
            </w:pPr>
            <w:r>
              <w:rPr>
                <w:rFonts w:hint="eastAsia" w:ascii="黑体" w:hAnsi="宋体" w:eastAsia="黑体" w:cs="仿宋_GB2312"/>
                <w:color w:val="000000"/>
                <w:szCs w:val="21"/>
              </w:rPr>
              <w:t>厅及房间</w:t>
            </w:r>
          </w:p>
        </w:tc>
        <w:tc>
          <w:tcPr>
            <w:tcW w:w="201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s="仿宋_GB2312"/>
                <w:color w:val="000000"/>
                <w:szCs w:val="21"/>
              </w:rPr>
            </w:pPr>
            <w:r>
              <w:rPr>
                <w:rFonts w:hint="eastAsia" w:ascii="黑体" w:hAnsi="宋体" w:eastAsia="黑体" w:cs="仿宋_GB2312"/>
                <w:color w:val="000000"/>
                <w:szCs w:val="21"/>
              </w:rPr>
              <w:t>卫生间</w:t>
            </w:r>
          </w:p>
        </w:tc>
        <w:tc>
          <w:tcPr>
            <w:tcW w:w="200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s="仿宋_GB2312"/>
                <w:color w:val="000000"/>
                <w:szCs w:val="21"/>
              </w:rPr>
            </w:pPr>
            <w:r>
              <w:rPr>
                <w:rFonts w:hint="eastAsia" w:ascii="黑体" w:hAnsi="宋体" w:eastAsia="黑体" w:cs="仿宋_GB2312"/>
                <w:color w:val="000000"/>
                <w:szCs w:val="21"/>
              </w:rPr>
              <w:t>厨房</w:t>
            </w:r>
          </w:p>
        </w:tc>
        <w:tc>
          <w:tcPr>
            <w:tcW w:w="175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s="仿宋_GB2312"/>
                <w:color w:val="000000"/>
                <w:szCs w:val="21"/>
              </w:rPr>
            </w:pPr>
            <w:r>
              <w:rPr>
                <w:rFonts w:hint="eastAsia" w:ascii="黑体" w:hAnsi="宋体" w:eastAsia="黑体" w:cs="仿宋_GB2312"/>
                <w:color w:val="000000"/>
                <w:szCs w:val="21"/>
              </w:rPr>
              <w:t>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地面</w:t>
            </w:r>
          </w:p>
        </w:tc>
        <w:tc>
          <w:tcPr>
            <w:tcW w:w="166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砼结构面</w:t>
            </w:r>
          </w:p>
        </w:tc>
        <w:tc>
          <w:tcPr>
            <w:tcW w:w="201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pacing w:val="-2"/>
                <w:szCs w:val="21"/>
              </w:rPr>
            </w:pPr>
            <w:r>
              <w:rPr>
                <w:rFonts w:hint="eastAsia" w:ascii="宋体" w:hAnsi="宋体" w:cs="仿宋_GB2312"/>
                <w:color w:val="000000"/>
                <w:spacing w:val="-2"/>
                <w:szCs w:val="21"/>
              </w:rPr>
              <w:t>水泥砂浆</w:t>
            </w:r>
            <w:r>
              <w:rPr>
                <w:rFonts w:ascii="宋体" w:hAnsi="宋体" w:cs="仿宋_GB2312"/>
                <w:color w:val="000000"/>
                <w:spacing w:val="-2"/>
                <w:szCs w:val="21"/>
              </w:rPr>
              <w:t>（</w:t>
            </w:r>
            <w:r>
              <w:rPr>
                <w:rFonts w:hint="eastAsia" w:ascii="宋体" w:hAnsi="宋体" w:cs="仿宋_GB2312"/>
                <w:color w:val="000000"/>
                <w:spacing w:val="-2"/>
                <w:szCs w:val="21"/>
              </w:rPr>
              <w:t>包含地面防水</w:t>
            </w:r>
            <w:r>
              <w:rPr>
                <w:rFonts w:ascii="宋体" w:hAnsi="宋体" w:cs="仿宋_GB2312"/>
                <w:color w:val="000000"/>
                <w:spacing w:val="-2"/>
                <w:szCs w:val="21"/>
              </w:rPr>
              <w:t>）</w:t>
            </w:r>
          </w:p>
        </w:tc>
        <w:tc>
          <w:tcPr>
            <w:tcW w:w="200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pacing w:val="-2"/>
                <w:szCs w:val="21"/>
              </w:rPr>
            </w:pPr>
            <w:r>
              <w:rPr>
                <w:rFonts w:hint="eastAsia" w:ascii="宋体" w:hAnsi="宋体" w:cs="仿宋_GB2312"/>
                <w:color w:val="000000"/>
                <w:spacing w:val="-2"/>
                <w:szCs w:val="21"/>
              </w:rPr>
              <w:t>水泥砂浆</w:t>
            </w:r>
            <w:r>
              <w:rPr>
                <w:rFonts w:ascii="宋体" w:hAnsi="宋体" w:cs="仿宋_GB2312"/>
                <w:color w:val="000000"/>
                <w:spacing w:val="-2"/>
                <w:szCs w:val="21"/>
              </w:rPr>
              <w:t>（</w:t>
            </w:r>
            <w:r>
              <w:rPr>
                <w:rFonts w:hint="eastAsia" w:ascii="宋体" w:hAnsi="宋体" w:cs="仿宋_GB2312"/>
                <w:color w:val="000000"/>
                <w:spacing w:val="-2"/>
                <w:szCs w:val="21"/>
              </w:rPr>
              <w:t>包含地面防水</w:t>
            </w:r>
            <w:r>
              <w:rPr>
                <w:rFonts w:ascii="宋体" w:hAnsi="宋体" w:cs="仿宋_GB2312"/>
                <w:color w:val="000000"/>
                <w:spacing w:val="-2"/>
                <w:szCs w:val="21"/>
              </w:rPr>
              <w:t>）</w:t>
            </w:r>
          </w:p>
        </w:tc>
        <w:tc>
          <w:tcPr>
            <w:tcW w:w="175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pacing w:val="-4"/>
                <w:szCs w:val="21"/>
              </w:rPr>
            </w:pPr>
            <w:r>
              <w:rPr>
                <w:rFonts w:hint="eastAsia" w:ascii="宋体" w:hAnsi="宋体" w:cs="仿宋_GB2312"/>
                <w:color w:val="000000"/>
                <w:spacing w:val="-4"/>
                <w:szCs w:val="21"/>
              </w:rPr>
              <w:t>水泥砂浆</w:t>
            </w:r>
            <w:r>
              <w:rPr>
                <w:rFonts w:ascii="宋体" w:hAnsi="宋体" w:cs="仿宋_GB2312"/>
                <w:color w:val="000000"/>
                <w:spacing w:val="-4"/>
                <w:szCs w:val="21"/>
              </w:rPr>
              <w:t>（</w:t>
            </w:r>
            <w:r>
              <w:rPr>
                <w:rFonts w:hint="eastAsia" w:ascii="宋体" w:hAnsi="宋体" w:cs="仿宋_GB2312"/>
                <w:color w:val="000000"/>
                <w:spacing w:val="-4"/>
                <w:szCs w:val="21"/>
              </w:rPr>
              <w:t>包含地面防水</w:t>
            </w:r>
            <w:r>
              <w:rPr>
                <w:rFonts w:ascii="宋体" w:hAnsi="宋体" w:cs="仿宋_GB2312"/>
                <w:color w:val="00000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墙面</w:t>
            </w:r>
          </w:p>
        </w:tc>
        <w:tc>
          <w:tcPr>
            <w:tcW w:w="166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有内隔墙，水泥砂浆墙面</w:t>
            </w:r>
          </w:p>
        </w:tc>
        <w:tc>
          <w:tcPr>
            <w:tcW w:w="2016"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pacing w:val="-2"/>
                <w:szCs w:val="21"/>
              </w:rPr>
            </w:pPr>
            <w:r>
              <w:rPr>
                <w:rFonts w:hint="eastAsia" w:ascii="宋体" w:hAnsi="宋体" w:cs="仿宋_GB2312"/>
                <w:color w:val="000000"/>
                <w:spacing w:val="-2"/>
                <w:szCs w:val="21"/>
              </w:rPr>
              <w:t>有内隔墙，水泥砂浆（包含墙面防水）</w:t>
            </w:r>
          </w:p>
        </w:tc>
        <w:tc>
          <w:tcPr>
            <w:tcW w:w="2001"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pacing w:val="-2"/>
                <w:szCs w:val="21"/>
              </w:rPr>
            </w:pPr>
            <w:r>
              <w:rPr>
                <w:rFonts w:hint="eastAsia" w:ascii="宋体" w:hAnsi="宋体" w:cs="仿宋_GB2312"/>
                <w:color w:val="000000"/>
                <w:spacing w:val="-2"/>
                <w:szCs w:val="21"/>
              </w:rPr>
              <w:t>有内隔墙，水泥砂浆（包含墙面防水）</w:t>
            </w:r>
          </w:p>
        </w:tc>
        <w:tc>
          <w:tcPr>
            <w:tcW w:w="1750"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同外墙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天花</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打磨平整，水泥腻子保护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pacing w:val="-2"/>
                <w:szCs w:val="21"/>
              </w:rPr>
            </w:pPr>
            <w:r>
              <w:rPr>
                <w:rFonts w:hint="eastAsia" w:ascii="宋体" w:hAnsi="宋体" w:cs="仿宋_GB2312"/>
                <w:color w:val="000000"/>
                <w:spacing w:val="-2"/>
                <w:szCs w:val="21"/>
              </w:rPr>
              <w:t>入户门、窗、栏杆</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安装入户门、阳台门、窗以及栏杆，配件齐全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强电</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安装配电箱，电到点：各个房间及阳台开关插座安装完成、配置白炽灯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弱电</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电到点：有线电视及网络分线盒及插孔、电话插座、红外线探头、楼宇对讲、厨房燃气报警器等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给水</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pacing w:val="-4"/>
                <w:szCs w:val="21"/>
              </w:rPr>
            </w:pPr>
            <w:r>
              <w:rPr>
                <w:rFonts w:hint="eastAsia" w:ascii="宋体" w:hAnsi="宋体" w:cs="仿宋_GB2312"/>
                <w:color w:val="000000"/>
                <w:spacing w:val="-4"/>
                <w:szCs w:val="21"/>
              </w:rPr>
              <w:t>水到点：楼板面给水管用水泥砂浆保护。预留洗手盆洗菜盆给水点，管口加堵头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排水</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预留排气扇洞口；排水管加</w:t>
            </w:r>
            <w:r>
              <w:rPr>
                <w:rFonts w:ascii="宋体" w:hAnsi="宋体" w:cs="仿宋_GB2312"/>
                <w:color w:val="000000"/>
                <w:szCs w:val="21"/>
              </w:rPr>
              <w:t>PVC</w:t>
            </w:r>
            <w:r>
              <w:rPr>
                <w:rFonts w:hint="eastAsia" w:ascii="宋体" w:hAnsi="宋体" w:cs="仿宋_GB2312"/>
                <w:color w:val="000000"/>
                <w:szCs w:val="21"/>
              </w:rPr>
              <w:t>管帽；安装</w:t>
            </w:r>
            <w:r>
              <w:rPr>
                <w:rFonts w:ascii="宋体" w:hAnsi="宋体" w:cs="仿宋_GB2312"/>
                <w:color w:val="000000"/>
                <w:szCs w:val="21"/>
              </w:rPr>
              <w:t>PVC</w:t>
            </w:r>
            <w:r>
              <w:rPr>
                <w:rFonts w:hint="eastAsia" w:ascii="宋体" w:hAnsi="宋体" w:cs="仿宋_GB2312"/>
                <w:color w:val="000000"/>
                <w:szCs w:val="21"/>
              </w:rPr>
              <w:t>地漏及配套地漏盖；阳台安装</w:t>
            </w:r>
            <w:r>
              <w:rPr>
                <w:rFonts w:ascii="宋体" w:hAnsi="宋体" w:cs="仿宋_GB2312"/>
                <w:color w:val="000000"/>
                <w:szCs w:val="21"/>
              </w:rPr>
              <w:t>PVC</w:t>
            </w:r>
            <w:r>
              <w:rPr>
                <w:rFonts w:hint="eastAsia" w:ascii="宋体" w:hAnsi="宋体" w:cs="仿宋_GB2312"/>
                <w:color w:val="000000"/>
                <w:szCs w:val="21"/>
              </w:rPr>
              <w:t>地漏及配套地漏盖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ascii="宋体" w:hAnsi="宋体" w:cs="仿宋_GB2312"/>
                <w:color w:val="000000"/>
                <w:szCs w:val="21"/>
              </w:rPr>
            </w:pPr>
            <w:r>
              <w:rPr>
                <w:rFonts w:hint="eastAsia" w:ascii="宋体" w:hAnsi="宋体" w:cs="仿宋_GB2312"/>
                <w:color w:val="000000"/>
                <w:szCs w:val="21"/>
              </w:rPr>
              <w:t>消防通风</w:t>
            </w:r>
          </w:p>
        </w:tc>
        <w:tc>
          <w:tcPr>
            <w:tcW w:w="7433" w:type="dxa"/>
            <w:gridSpan w:val="4"/>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s="仿宋_GB2312"/>
                <w:color w:val="000000"/>
                <w:szCs w:val="21"/>
              </w:rPr>
            </w:pPr>
            <w:r>
              <w:rPr>
                <w:rFonts w:hint="eastAsia" w:ascii="宋体" w:hAnsi="宋体" w:cs="仿宋_GB2312"/>
                <w:color w:val="000000"/>
                <w:szCs w:val="21"/>
              </w:rPr>
              <w:t>安装消防水、消防电、气体灭火系统、通风防排烟系统</w:t>
            </w:r>
          </w:p>
        </w:tc>
      </w:tr>
    </w:tbl>
    <w:p>
      <w:pPr>
        <w:spacing w:line="420" w:lineRule="atLeast"/>
        <w:ind w:firstLine="482" w:firstLineChars="200"/>
        <w:rPr>
          <w:rFonts w:hint="eastAsia" w:ascii="宋体" w:hAnsi="宋体"/>
          <w:b/>
          <w:bCs/>
          <w:color w:val="000000"/>
          <w:sz w:val="24"/>
          <w:szCs w:val="24"/>
        </w:rPr>
      </w:pPr>
    </w:p>
    <w:p>
      <w:pPr>
        <w:spacing w:line="420" w:lineRule="atLeast"/>
        <w:ind w:firstLine="482" w:firstLineChars="200"/>
        <w:rPr>
          <w:rFonts w:hint="eastAsia" w:ascii="宋体" w:hAnsi="宋体"/>
          <w:b/>
          <w:bCs/>
          <w:color w:val="000000"/>
          <w:sz w:val="24"/>
          <w:szCs w:val="24"/>
        </w:rPr>
      </w:pPr>
    </w:p>
    <w:p>
      <w:pPr>
        <w:spacing w:line="420" w:lineRule="atLeast"/>
        <w:ind w:firstLine="482" w:firstLineChars="200"/>
        <w:rPr>
          <w:rFonts w:hint="eastAsia" w:ascii="宋体" w:hAnsi="宋体"/>
          <w:b/>
          <w:bCs/>
          <w:color w:val="000000"/>
          <w:sz w:val="24"/>
          <w:szCs w:val="24"/>
        </w:rPr>
      </w:pPr>
    </w:p>
    <w:p>
      <w:pPr>
        <w:spacing w:after="156" w:afterLines="50" w:line="396" w:lineRule="atLeast"/>
        <w:jc w:val="center"/>
        <w:rPr>
          <w:rFonts w:ascii="黑体" w:hAnsi="宋体" w:eastAsia="黑体"/>
          <w:sz w:val="24"/>
          <w:szCs w:val="24"/>
        </w:rPr>
      </w:pPr>
      <w:r>
        <w:rPr>
          <w:rFonts w:hint="eastAsia" w:ascii="黑体" w:hAnsi="宋体" w:eastAsia="黑体"/>
          <w:sz w:val="24"/>
          <w:szCs w:val="24"/>
        </w:rPr>
        <w:t>第六部分  税金计算方式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4"/>
        <w:gridCol w:w="430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费用名称</w:t>
            </w:r>
          </w:p>
        </w:tc>
        <w:tc>
          <w:tcPr>
            <w:tcW w:w="4309"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计算公式</w:t>
            </w:r>
          </w:p>
        </w:tc>
        <w:tc>
          <w:tcPr>
            <w:tcW w:w="9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olor w:val="000000"/>
                <w:szCs w:val="21"/>
              </w:rPr>
            </w:pPr>
            <w:r>
              <w:rPr>
                <w:rFonts w:hint="eastAsia" w:ascii="黑体" w:hAnsi="宋体"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法定税金（包括：增值税、城建维护税、教育费附加及地方教育附加、印花税）</w:t>
            </w:r>
          </w:p>
        </w:tc>
        <w:tc>
          <w:tcPr>
            <w:tcW w:w="4309"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pacing w:val="-4"/>
                <w:szCs w:val="21"/>
              </w:rPr>
            </w:pPr>
            <w:r>
              <w:rPr>
                <w:rFonts w:hint="eastAsia" w:ascii="宋体" w:hAnsi="宋体"/>
                <w:color w:val="000000"/>
                <w:spacing w:val="-4"/>
                <w:szCs w:val="21"/>
              </w:rPr>
              <w:t>（地价＋建设成本＋资金成本＋合理利润＋户内装饰装修造价</w:t>
            </w:r>
            <w:r>
              <w:rPr>
                <w:rFonts w:hint="eastAsia" w:ascii="宋体" w:hAnsi="宋体"/>
                <w:color w:val="000000"/>
                <w:spacing w:val="-14"/>
                <w:szCs w:val="21"/>
              </w:rPr>
              <w:t>）</w:t>
            </w:r>
            <w:r>
              <w:rPr>
                <w:rFonts w:ascii="宋体" w:hAnsi="宋体"/>
                <w:color w:val="000000"/>
                <w:spacing w:val="-14"/>
                <w:szCs w:val="21"/>
              </w:rPr>
              <w:t>/</w:t>
            </w:r>
            <w:r>
              <w:rPr>
                <w:rFonts w:hint="eastAsia" w:ascii="宋体" w:hAnsi="宋体"/>
                <w:color w:val="000000"/>
                <w:spacing w:val="-14"/>
                <w:szCs w:val="21"/>
              </w:rPr>
              <w:t>（</w:t>
            </w:r>
            <w:r>
              <w:rPr>
                <w:rFonts w:ascii="宋体" w:hAnsi="宋体"/>
                <w:color w:val="000000"/>
                <w:spacing w:val="-4"/>
                <w:szCs w:val="21"/>
              </w:rPr>
              <w:t>1－</w:t>
            </w:r>
            <w:r>
              <w:rPr>
                <w:rFonts w:hint="eastAsia" w:ascii="宋体" w:hAnsi="宋体"/>
                <w:color w:val="000000"/>
                <w:spacing w:val="-4"/>
                <w:szCs w:val="21"/>
              </w:rPr>
              <w:t>综合税率）×综合税率</w:t>
            </w:r>
          </w:p>
        </w:tc>
        <w:tc>
          <w:tcPr>
            <w:tcW w:w="933" w:type="dxa"/>
            <w:tcBorders>
              <w:top w:val="single" w:color="auto" w:sz="4" w:space="0"/>
              <w:left w:val="nil"/>
              <w:bottom w:val="single" w:color="auto" w:sz="4" w:space="0"/>
              <w:right w:val="single" w:color="auto" w:sz="4" w:space="0"/>
            </w:tcBorders>
            <w:noWrap w:val="0"/>
            <w:vAlign w:val="center"/>
          </w:tcPr>
          <w:p>
            <w:pPr>
              <w:spacing w:line="260" w:lineRule="exact"/>
              <w:ind w:left="-63" w:leftChars="-30" w:right="-63" w:rightChars="-30"/>
              <w:rPr>
                <w:rFonts w:ascii="宋体" w:hAnsi="宋体"/>
                <w:color w:val="000000"/>
                <w:szCs w:val="21"/>
              </w:rPr>
            </w:pPr>
            <w:r>
              <w:rPr>
                <w:rFonts w:hint="eastAsia" w:ascii="宋体" w:hAnsi="宋体"/>
                <w:color w:val="000000"/>
                <w:szCs w:val="21"/>
              </w:rPr>
              <w:t>综合税率为</w:t>
            </w:r>
            <w:r>
              <w:rPr>
                <w:rFonts w:ascii="宋体" w:hAnsi="宋体"/>
                <w:color w:val="000000"/>
                <w:szCs w:val="21"/>
              </w:rPr>
              <w:t>5.38%</w:t>
            </w:r>
          </w:p>
        </w:tc>
      </w:tr>
    </w:tbl>
    <w:p>
      <w:pPr>
        <w:spacing w:before="62" w:beforeLines="20" w:line="320" w:lineRule="atLeast"/>
        <w:rPr>
          <w:rFonts w:hint="eastAsia" w:ascii="楷体_GB2312" w:hAnsi="宋体" w:eastAsia="楷体_GB2312"/>
          <w:color w:val="000000"/>
          <w:szCs w:val="21"/>
        </w:rPr>
      </w:pPr>
      <w:r>
        <w:rPr>
          <w:rFonts w:hint="eastAsia" w:ascii="楷体_GB2312" w:hAnsi="宋体" w:eastAsia="楷体_GB2312"/>
          <w:color w:val="000000"/>
          <w:szCs w:val="21"/>
        </w:rPr>
        <w:t>注：</w:t>
      </w:r>
    </w:p>
    <w:p>
      <w:pPr>
        <w:spacing w:line="320" w:lineRule="atLeast"/>
        <w:ind w:firstLine="420" w:firstLineChars="200"/>
        <w:rPr>
          <w:rFonts w:hint="eastAsia" w:ascii="楷体_GB2312" w:hAnsi="宋体" w:eastAsia="楷体_GB2312"/>
          <w:color w:val="000000"/>
          <w:szCs w:val="21"/>
        </w:rPr>
      </w:pPr>
      <w:r>
        <w:rPr>
          <w:rFonts w:hint="eastAsia" w:ascii="楷体_GB2312" w:hAnsi="宋体" w:eastAsia="楷体_GB2312"/>
          <w:color w:val="000000"/>
          <w:szCs w:val="21"/>
        </w:rPr>
        <w:t>1．法定税金在收购价格计算时已缴纳的，按实际缴纳金额计算。</w:t>
      </w:r>
    </w:p>
    <w:p>
      <w:pPr>
        <w:spacing w:line="320" w:lineRule="atLeast"/>
        <w:ind w:firstLine="420" w:firstLineChars="200"/>
        <w:rPr>
          <w:rFonts w:hint="eastAsia" w:ascii="楷体_GB2312" w:hAnsi="宋体" w:eastAsia="楷体_GB2312" w:cs="Arial"/>
          <w:color w:val="000000"/>
          <w:szCs w:val="21"/>
        </w:rPr>
      </w:pPr>
      <w:r>
        <w:rPr>
          <w:rFonts w:hint="eastAsia" w:ascii="楷体_GB2312" w:hAnsi="宋体" w:eastAsia="楷体_GB2312"/>
          <w:color w:val="000000"/>
          <w:szCs w:val="21"/>
        </w:rPr>
        <w:t>2．法定税金在收购价格计算时未缴纳的，按上述简易计税方法计算；根据《深圳市财政委员会 深圳市住房和建设局关于进一步做好我市公共租赁住房和棚户区改造安置住房建设收费基金减免政策落实工作的通知》的规定，可以减免教育费附加及地方教育附加的，综合税率按5.14%计算。</w:t>
      </w:r>
    </w:p>
    <w:p/>
    <w:sectPr>
      <w:headerReference r:id="rId7" w:type="default"/>
      <w:pgSz w:w="11906" w:h="16838"/>
      <w:pgMar w:top="2268" w:right="1418" w:bottom="2268"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rPr>
    </w:pPr>
    <w:r>
      <w:rPr>
        <w:rStyle w:val="7"/>
        <w:rFonts w:ascii="Times New Roman" w:hAnsi="Times New Roman"/>
      </w:rPr>
      <w:fldChar w:fldCharType="begin"/>
    </w:r>
    <w:r>
      <w:rPr>
        <w:rStyle w:val="7"/>
        <w:rFonts w:ascii="Times New Roman" w:hAnsi="Times New Roman"/>
      </w:rPr>
      <w:instrText xml:space="preserve">PAGE  </w:instrText>
    </w:r>
    <w:r>
      <w:rPr>
        <w:rStyle w:val="7"/>
        <w:rFonts w:ascii="Times New Roman" w:hAnsi="Times New Roman"/>
      </w:rPr>
      <w:fldChar w:fldCharType="separate"/>
    </w:r>
    <w:r>
      <w:rPr>
        <w:rStyle w:val="7"/>
        <w:rFonts w:ascii="Times New Roman" w:hAnsi="Times New Roman"/>
      </w:rPr>
      <w:t>19</w:t>
    </w:r>
    <w:r>
      <w:rPr>
        <w:rStyle w:val="7"/>
        <w:rFonts w:ascii="Times New Roman" w:hAnsi="Times New Roman"/>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w:rPr>
        <w:rFonts w:hint="eastAsia" w:ascii="宋体" w:hAnsi="宋体"/>
      </w:rPr>
      <w:t>深圳市人民政府公报                                                                   2021年第44期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w:rPr>
        <w:rFonts w:hint="eastAsia" w:ascii="宋体" w:hAnsi="宋体"/>
      </w:rPr>
      <w:t>深圳市人民政府公报                                                                                                                  2021年第44期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w:rPr>
        <w:rFonts w:hint="eastAsia" w:ascii="宋体" w:hAnsi="宋体"/>
      </w:rPr>
      <w:t>深圳市人民政府公报                                                                   2021年第44期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F39CF"/>
    <w:rsid w:val="1F8F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semiHidden/>
    <w:unhideWhenUsed/>
    <w:uiPriority w:val="0"/>
    <w:pPr>
      <w:tabs>
        <w:tab w:val="center" w:pos="4153"/>
        <w:tab w:val="right" w:pos="8306"/>
      </w:tabs>
      <w:snapToGrid w:val="0"/>
      <w:jc w:val="left"/>
    </w:pPr>
    <w:rPr>
      <w:sz w:val="18"/>
      <w:szCs w:val="18"/>
    </w:rPr>
  </w:style>
  <w:style w:type="paragraph" w:styleId="4">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1"/>
    <w:basedOn w:val="1"/>
    <w:qFormat/>
    <w:uiPriority w:val="0"/>
    <w:pPr>
      <w:ind w:firstLine="420" w:firstLineChars="200"/>
    </w:pPr>
  </w:style>
  <w:style w:type="paragraph" w:customStyle="1" w:styleId="9">
    <w:name w:val=" Char1"/>
    <w:basedOn w:val="1"/>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2021-12-28T09:55:00Z</dcterms:created>
  <dc:creator>微凉</dc:creator>
  <cp:lastModifiedBy>微凉</cp:lastModifiedBy>
  <dcterms:modified xsi:type="dcterms:W3CDTF">2021-12-28T09:56:11Z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3B5C660D4D454D808B1567ACD8C6AFDC</vt:lpwstr>
  </property>
</Properties>
</file>