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adjustRightInd w:val="0"/>
        <w:snapToGrid w:val="0"/>
        <w:jc w:val="center"/>
        <w:rPr>
          <w:rFonts w:hint="eastAsia" w:ascii="宋体" w:hAnsi="宋体" w:cs="Arial"/>
          <w:b/>
          <w:bCs/>
          <w:sz w:val="44"/>
          <w:szCs w:val="44"/>
        </w:rPr>
      </w:pPr>
    </w:p>
    <w:p>
      <w:pPr>
        <w:adjustRightInd w:val="0"/>
        <w:snapToGrid w:val="0"/>
        <w:jc w:val="center"/>
        <w:rPr>
          <w:rFonts w:hint="eastAsia" w:ascii="宋体" w:hAnsi="宋体" w:cs="Arial"/>
          <w:b/>
          <w:bCs/>
          <w:sz w:val="44"/>
          <w:szCs w:val="44"/>
        </w:rPr>
      </w:pPr>
      <w:r>
        <w:rPr>
          <w:rFonts w:hint="eastAsia" w:ascii="宋体" w:hAnsi="宋体" w:cs="Arial"/>
          <w:b/>
          <w:bCs/>
          <w:sz w:val="44"/>
          <w:szCs w:val="44"/>
        </w:rPr>
        <w:t>深圳市高级别生物安全实验室建设与</w:t>
      </w:r>
    </w:p>
    <w:p>
      <w:pPr>
        <w:adjustRightInd w:val="0"/>
        <w:snapToGrid w:val="0"/>
        <w:jc w:val="center"/>
        <w:rPr>
          <w:rFonts w:hint="eastAsia" w:ascii="宋体" w:hAnsi="宋体" w:cs="Arial"/>
          <w:b/>
          <w:bCs/>
          <w:sz w:val="44"/>
          <w:szCs w:val="44"/>
        </w:rPr>
      </w:pPr>
      <w:r>
        <w:rPr>
          <w:rFonts w:hint="eastAsia" w:ascii="宋体" w:hAnsi="宋体" w:cs="Arial"/>
          <w:b/>
          <w:bCs/>
          <w:sz w:val="44"/>
          <w:szCs w:val="44"/>
        </w:rPr>
        <w:t>运营规划</w:t>
      </w:r>
      <w:r>
        <w:rPr>
          <w:rFonts w:hint="eastAsia" w:ascii="宋体" w:hAnsi="宋体" w:cs="Arial"/>
          <w:b/>
          <w:bCs/>
          <w:sz w:val="44"/>
          <w:szCs w:val="44"/>
          <w:lang w:eastAsia="zh-CN"/>
        </w:rPr>
        <w:t>研究</w:t>
      </w:r>
      <w:r>
        <w:rPr>
          <w:rFonts w:hint="eastAsia" w:ascii="宋体" w:hAnsi="宋体" w:cs="Arial"/>
          <w:b/>
          <w:bCs/>
          <w:sz w:val="44"/>
          <w:szCs w:val="44"/>
        </w:rPr>
        <w:t>课题项目</w:t>
      </w:r>
    </w:p>
    <w:p>
      <w:pPr>
        <w:adjustRightInd w:val="0"/>
        <w:snapToGrid w:val="0"/>
        <w:jc w:val="center"/>
        <w:rPr>
          <w:rFonts w:hint="eastAsia" w:ascii="宋体" w:hAnsi="宋体" w:cs="Arial"/>
          <w:b/>
          <w:bCs/>
          <w:sz w:val="44"/>
          <w:szCs w:val="44"/>
        </w:rPr>
      </w:pPr>
    </w:p>
    <w:p>
      <w:pPr>
        <w:adjustRightInd w:val="0"/>
        <w:snapToGrid w:val="0"/>
        <w:jc w:val="center"/>
        <w:rPr>
          <w:rFonts w:hint="eastAsia" w:ascii="宋体" w:hAnsi="宋体" w:cs="Arial"/>
          <w:b/>
          <w:bCs/>
          <w:sz w:val="72"/>
          <w:szCs w:val="72"/>
        </w:rPr>
      </w:pPr>
    </w:p>
    <w:p>
      <w:pPr>
        <w:adjustRightInd w:val="0"/>
        <w:snapToGrid w:val="0"/>
        <w:jc w:val="center"/>
        <w:rPr>
          <w:rFonts w:hint="eastAsia" w:ascii="宋体" w:hAnsi="宋体" w:cs="Arial"/>
          <w:b/>
          <w:bCs/>
          <w:sz w:val="72"/>
          <w:szCs w:val="72"/>
        </w:rPr>
      </w:pPr>
      <w:r>
        <w:rPr>
          <w:rFonts w:hint="eastAsia" w:ascii="宋体" w:hAnsi="宋体" w:cs="Arial"/>
          <w:b/>
          <w:bCs/>
          <w:sz w:val="72"/>
          <w:szCs w:val="72"/>
        </w:rPr>
        <w:t>招</w:t>
      </w:r>
    </w:p>
    <w:p>
      <w:pPr>
        <w:adjustRightInd w:val="0"/>
        <w:snapToGrid w:val="0"/>
        <w:jc w:val="center"/>
        <w:rPr>
          <w:rFonts w:hint="eastAsia" w:ascii="宋体" w:hAnsi="宋体" w:cs="Arial"/>
          <w:b/>
          <w:bCs/>
          <w:sz w:val="72"/>
          <w:szCs w:val="72"/>
        </w:rPr>
      </w:pPr>
    </w:p>
    <w:p>
      <w:pPr>
        <w:adjustRightInd w:val="0"/>
        <w:snapToGrid w:val="0"/>
        <w:jc w:val="center"/>
        <w:rPr>
          <w:rFonts w:hint="eastAsia" w:ascii="宋体" w:hAnsi="宋体" w:cs="Arial"/>
          <w:b/>
          <w:bCs/>
          <w:sz w:val="72"/>
          <w:szCs w:val="72"/>
        </w:rPr>
      </w:pPr>
      <w:r>
        <w:rPr>
          <w:rFonts w:hint="eastAsia" w:ascii="宋体" w:hAnsi="宋体" w:cs="Arial"/>
          <w:b/>
          <w:bCs/>
          <w:sz w:val="72"/>
          <w:szCs w:val="72"/>
        </w:rPr>
        <w:t>标</w:t>
      </w:r>
    </w:p>
    <w:p>
      <w:pPr>
        <w:adjustRightInd w:val="0"/>
        <w:snapToGrid w:val="0"/>
        <w:jc w:val="center"/>
        <w:rPr>
          <w:rFonts w:hint="eastAsia" w:ascii="宋体" w:hAnsi="宋体" w:cs="Arial"/>
          <w:b/>
          <w:bCs/>
          <w:sz w:val="72"/>
          <w:szCs w:val="72"/>
        </w:rPr>
      </w:pPr>
    </w:p>
    <w:p>
      <w:pPr>
        <w:adjustRightInd w:val="0"/>
        <w:snapToGrid w:val="0"/>
        <w:jc w:val="center"/>
        <w:rPr>
          <w:rFonts w:hint="eastAsia" w:ascii="宋体" w:hAnsi="宋体" w:cs="Arial"/>
          <w:b/>
          <w:bCs/>
          <w:sz w:val="72"/>
          <w:szCs w:val="72"/>
        </w:rPr>
      </w:pPr>
      <w:r>
        <w:rPr>
          <w:rFonts w:hint="eastAsia" w:ascii="宋体" w:hAnsi="宋体" w:cs="Arial"/>
          <w:b/>
          <w:bCs/>
          <w:sz w:val="72"/>
          <w:szCs w:val="72"/>
        </w:rPr>
        <w:t>书</w:t>
      </w:r>
    </w:p>
    <w:p>
      <w:pPr>
        <w:adjustRightInd w:val="0"/>
        <w:snapToGrid w:val="0"/>
        <w:jc w:val="center"/>
        <w:rPr>
          <w:rFonts w:hint="eastAsia" w:ascii="宋体" w:hAnsi="宋体" w:cs="Arial"/>
          <w:b/>
          <w:bCs/>
          <w:sz w:val="72"/>
          <w:szCs w:val="72"/>
        </w:rPr>
      </w:pPr>
    </w:p>
    <w:p>
      <w:pPr>
        <w:adjustRightInd w:val="0"/>
        <w:snapToGrid w:val="0"/>
        <w:jc w:val="center"/>
        <w:rPr>
          <w:rFonts w:hint="eastAsia" w:ascii="宋体" w:hAnsi="宋体" w:cs="Arial"/>
          <w:b/>
          <w:bCs/>
          <w:sz w:val="72"/>
          <w:szCs w:val="72"/>
        </w:rPr>
      </w:pPr>
    </w:p>
    <w:p>
      <w:pPr>
        <w:adjustRightInd w:val="0"/>
        <w:snapToGrid w:val="0"/>
        <w:jc w:val="center"/>
        <w:rPr>
          <w:rFonts w:hint="eastAsia" w:ascii="宋体" w:hAnsi="宋体" w:cs="Arial"/>
          <w:b/>
          <w:bCs/>
          <w:sz w:val="32"/>
          <w:szCs w:val="32"/>
          <w:lang w:eastAsia="zh-CN"/>
        </w:rPr>
      </w:pPr>
      <w:r>
        <w:rPr>
          <w:rFonts w:hint="eastAsia" w:ascii="宋体" w:hAnsi="宋体" w:cs="Arial"/>
          <w:b/>
          <w:bCs/>
          <w:sz w:val="32"/>
          <w:szCs w:val="32"/>
          <w:lang w:eastAsia="zh-CN"/>
        </w:rPr>
        <w:t>深圳市发展和改革委员会</w:t>
      </w:r>
    </w:p>
    <w:p>
      <w:pPr>
        <w:adjustRightInd w:val="0"/>
        <w:snapToGrid w:val="0"/>
        <w:jc w:val="center"/>
        <w:rPr>
          <w:rFonts w:hint="default" w:ascii="宋体" w:hAnsi="宋体" w:cs="Arial"/>
          <w:b/>
          <w:bCs/>
          <w:sz w:val="32"/>
          <w:szCs w:val="32"/>
        </w:rPr>
      </w:pPr>
      <w:r>
        <w:rPr>
          <w:rFonts w:hint="eastAsia" w:ascii="宋体" w:hAnsi="宋体" w:cs="Arial"/>
          <w:b/>
          <w:bCs/>
          <w:sz w:val="32"/>
          <w:szCs w:val="32"/>
          <w:lang w:eastAsia="zh-CN"/>
        </w:rPr>
        <w:t>二</w:t>
      </w:r>
      <w:r>
        <w:rPr>
          <w:rFonts w:hint="eastAsia" w:ascii="宋体" w:hAnsi="宋体" w:cs="Arial"/>
          <w:b/>
          <w:bCs/>
          <w:sz w:val="32"/>
          <w:szCs w:val="32"/>
          <w:lang w:val="en-US" w:eastAsia="zh-CN"/>
        </w:rPr>
        <w:t>O二一年十二月</w:t>
      </w:r>
    </w:p>
    <w:p>
      <w:pPr>
        <w:adjustRightInd w:val="0"/>
        <w:snapToGrid w:val="0"/>
        <w:jc w:val="center"/>
        <w:rPr>
          <w:rFonts w:hint="eastAsia" w:ascii="宋体" w:hAnsi="宋体" w:cs="Arial"/>
          <w:b/>
          <w:bCs/>
          <w:sz w:val="44"/>
          <w:szCs w:val="44"/>
        </w:rPr>
      </w:pPr>
    </w:p>
    <w:p>
      <w:pPr>
        <w:adjustRightInd w:val="0"/>
        <w:snapToGrid w:val="0"/>
        <w:jc w:val="both"/>
        <w:rPr>
          <w:rFonts w:hint="eastAsia" w:ascii="宋体" w:hAnsi="宋体" w:cs="Arial"/>
          <w:b/>
          <w:bCs/>
          <w:sz w:val="44"/>
          <w:szCs w:val="44"/>
        </w:rPr>
      </w:pP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一、项目概况</w:t>
      </w:r>
    </w:p>
    <w:p>
      <w:pPr>
        <w:adjustRightInd w:val="0"/>
        <w:snapToGrid w:val="0"/>
        <w:spacing w:line="560" w:lineRule="exact"/>
        <w:ind w:firstLine="640" w:firstLineChars="200"/>
        <w:outlineLvl w:val="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（一）项目名称：深圳市高级别生物安全实验室建设与运营规划</w:t>
      </w:r>
      <w:r>
        <w:rPr>
          <w:rFonts w:hint="eastAsia" w:ascii="仿宋_GB2312" w:hAnsi="仿宋" w:eastAsia="仿宋_GB2312" w:cs="仿宋_GB2312"/>
          <w:sz w:val="32"/>
          <w:szCs w:val="32"/>
          <w:lang w:eastAsia="zh-CN"/>
        </w:rPr>
        <w:t>研究</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个月</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（三）项目预算：预算金额</w:t>
      </w:r>
      <w:r>
        <w:rPr>
          <w:rFonts w:hint="eastAsia" w:ascii="仿宋_GB2312" w:hAnsi="仿宋" w:eastAsia="仿宋_GB2312" w:cs="仿宋_GB2312"/>
          <w:sz w:val="32"/>
          <w:szCs w:val="32"/>
          <w:lang w:eastAsia="zh-CN"/>
        </w:rPr>
        <w:t>不超过</w:t>
      </w:r>
      <w:r>
        <w:rPr>
          <w:rFonts w:ascii="仿宋_GB2312" w:hAnsi="仿宋" w:eastAsia="仿宋_GB2312" w:cs="仿宋_GB2312"/>
          <w:sz w:val="32"/>
          <w:szCs w:val="32"/>
        </w:rPr>
        <w:t>60</w:t>
      </w:r>
      <w:r>
        <w:rPr>
          <w:rFonts w:hint="eastAsia" w:ascii="仿宋_GB2312" w:hAnsi="仿宋" w:eastAsia="仿宋_GB2312" w:cs="仿宋_GB2312"/>
          <w:sz w:val="32"/>
          <w:szCs w:val="32"/>
        </w:rPr>
        <w:t>万元</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二、项目内容</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（一）通过多种形式相结合的方式调研国内外高级别生物安全实验室的发展布局与建设运营情况，为深圳市高级别生物安全实验室的规划提供可借鉴的经验。</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（二）深入调研分析深圳市已经建成与列入国家规划的生物安全实验室建设运营情况，提出目前深圳市高级别生物安全实验室建设与运营方面存在的短板。</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（三）深入调研分析深圳市生命科学与医学科学领域研究机构与生物医药企业对高致病性病原微生物的研发需求，以供需匹配的原则规划布局高级别生物安全实验室。</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三、项目技术要求</w:t>
      </w:r>
    </w:p>
    <w:p>
      <w:pPr>
        <w:adjustRightInd w:val="0"/>
        <w:snapToGrid w:val="0"/>
        <w:spacing w:line="560" w:lineRule="exact"/>
        <w:ind w:firstLine="640" w:firstLineChars="200"/>
        <w:outlineLvl w:val="0"/>
        <w:rPr>
          <w:rFonts w:ascii="仿宋" w:hAnsi="仿宋" w:eastAsia="仿宋" w:cs="仿宋_GB2312"/>
          <w:sz w:val="32"/>
          <w:szCs w:val="32"/>
        </w:rPr>
      </w:pPr>
      <w:r>
        <w:rPr>
          <w:rFonts w:ascii="仿宋" w:hAnsi="仿宋" w:eastAsia="仿宋" w:cs="仿宋_GB2312"/>
          <w:sz w:val="32"/>
          <w:szCs w:val="32"/>
        </w:rPr>
        <w:t>（一）</w:t>
      </w:r>
      <w:r>
        <w:rPr>
          <w:rFonts w:hint="eastAsia" w:ascii="仿宋" w:hAnsi="仿宋" w:eastAsia="仿宋" w:cs="仿宋_GB2312"/>
          <w:sz w:val="32"/>
          <w:szCs w:val="32"/>
        </w:rPr>
        <w:t>项目成果应遵循国家颁布的有关法律、法规及政策要求，符合相关技术规范和标准。</w:t>
      </w:r>
    </w:p>
    <w:p>
      <w:pPr>
        <w:adjustRightInd w:val="0"/>
        <w:snapToGrid w:val="0"/>
        <w:spacing w:line="560" w:lineRule="exact"/>
        <w:ind w:firstLine="640" w:firstLineChars="200"/>
        <w:outlineLvl w:val="0"/>
        <w:rPr>
          <w:rFonts w:ascii="仿宋" w:hAnsi="仿宋" w:eastAsia="仿宋" w:cs="仿宋_GB2312"/>
          <w:sz w:val="32"/>
          <w:szCs w:val="32"/>
        </w:rPr>
      </w:pPr>
      <w:r>
        <w:rPr>
          <w:rFonts w:ascii="仿宋" w:hAnsi="仿宋" w:eastAsia="仿宋" w:cs="仿宋_GB2312"/>
          <w:sz w:val="32"/>
          <w:szCs w:val="32"/>
        </w:rPr>
        <w:t>（二）</w:t>
      </w:r>
      <w:r>
        <w:rPr>
          <w:rFonts w:hint="eastAsia" w:ascii="仿宋" w:hAnsi="仿宋" w:eastAsia="仿宋" w:cs="仿宋_GB2312"/>
          <w:sz w:val="32"/>
          <w:szCs w:val="32"/>
        </w:rPr>
        <w:t>组建调研工作团队，其中具备博士研究生学历以上技能人才研究专家不少于3人。</w:t>
      </w:r>
    </w:p>
    <w:p>
      <w:pPr>
        <w:adjustRightInd w:val="0"/>
        <w:snapToGrid w:val="0"/>
        <w:spacing w:line="560" w:lineRule="exact"/>
        <w:ind w:firstLine="640" w:firstLineChars="200"/>
        <w:outlineLvl w:val="0"/>
        <w:rPr>
          <w:rFonts w:ascii="仿宋" w:hAnsi="仿宋" w:eastAsia="仿宋" w:cs="仿宋_GB2312"/>
          <w:sz w:val="32"/>
          <w:szCs w:val="32"/>
        </w:rPr>
      </w:pPr>
      <w:r>
        <w:rPr>
          <w:rFonts w:ascii="仿宋" w:hAnsi="仿宋" w:eastAsia="仿宋" w:cs="仿宋_GB2312"/>
          <w:sz w:val="32"/>
          <w:szCs w:val="32"/>
        </w:rPr>
        <w:t>（三）</w:t>
      </w:r>
      <w:r>
        <w:rPr>
          <w:rFonts w:hint="eastAsia" w:ascii="仿宋" w:hAnsi="仿宋" w:eastAsia="仿宋" w:cs="仿宋_GB2312"/>
          <w:sz w:val="32"/>
          <w:szCs w:val="32"/>
        </w:rPr>
        <w:t>采取案头研究、现场调研、集中座谈、电话访谈、视频会议、专家咨询等方式对国内外高级别生物安全实验室、深圳市已建成运行生物安全实验室、深圳市生命科学与医学科学领域研究机构与生物医药企业开展调研与需求分析研究。</w:t>
      </w:r>
    </w:p>
    <w:p>
      <w:pPr>
        <w:adjustRightInd w:val="0"/>
        <w:snapToGrid w:val="0"/>
        <w:spacing w:line="560" w:lineRule="exact"/>
        <w:ind w:firstLine="640" w:firstLineChars="200"/>
        <w:outlineLvl w:val="0"/>
        <w:rPr>
          <w:rFonts w:ascii="仿宋" w:hAnsi="仿宋" w:eastAsia="仿宋" w:cs="仿宋_GB2312"/>
          <w:sz w:val="32"/>
          <w:szCs w:val="32"/>
        </w:rPr>
      </w:pPr>
      <w:r>
        <w:rPr>
          <w:rFonts w:ascii="仿宋" w:hAnsi="仿宋" w:eastAsia="仿宋" w:cs="仿宋_GB2312"/>
          <w:sz w:val="32"/>
          <w:szCs w:val="32"/>
        </w:rPr>
        <w:t>（四）</w:t>
      </w:r>
      <w:r>
        <w:rPr>
          <w:rFonts w:hint="eastAsia" w:ascii="仿宋" w:hAnsi="仿宋" w:eastAsia="仿宋" w:cs="仿宋_GB2312"/>
          <w:sz w:val="32"/>
          <w:szCs w:val="32"/>
        </w:rPr>
        <w:t>研究成果要具有前瞻性，面向未来、视野开阔，科学规划深圳医学科学院的设施平台；调研报告具有系统性，研究成果要体系完整、内容全面、材料丰富；具有实用性，研究成果符合深圳实际，针对性和可操作性强，形成书面研究报告与汇报PPT文件。</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四、项目成果交付要求</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提交研究成果纸质版</w:t>
      </w:r>
      <w:r>
        <w:rPr>
          <w:rFonts w:ascii="仿宋" w:hAnsi="仿宋" w:eastAsia="仿宋" w:cs="仿宋_GB2312"/>
          <w:sz w:val="32"/>
          <w:szCs w:val="32"/>
        </w:rPr>
        <w:t>2</w:t>
      </w:r>
      <w:r>
        <w:rPr>
          <w:rFonts w:hint="eastAsia" w:ascii="仿宋" w:hAnsi="仿宋" w:eastAsia="仿宋" w:cs="仿宋_GB2312"/>
          <w:sz w:val="32"/>
          <w:szCs w:val="32"/>
        </w:rPr>
        <w:t>份和电子版，文件能够简明扼要介绍成果核心内容与主要结论。</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五、投标资格要求</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（一）具有独立承担民事责任能力的在中华人民共和国境内注册的法人。</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（二）投标人必须具备相关经营范围（咨询服务等），具备开展本项目研究的基本条件和研究能力。</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（三）参加本次政府采购活动前3年内在经营活动中没有重大违法记录（提供声明函，格式自拟）。</w:t>
      </w:r>
    </w:p>
    <w:p>
      <w:pPr>
        <w:adjustRightInd w:val="0"/>
        <w:snapToGrid w:val="0"/>
        <w:spacing w:line="560" w:lineRule="exact"/>
        <w:ind w:firstLine="640" w:firstLineChars="200"/>
        <w:outlineLvl w:val="0"/>
        <w:rPr>
          <w:rFonts w:ascii="黑体" w:hAnsi="黑体" w:eastAsia="黑体"/>
          <w:b w:val="0"/>
          <w:bCs w:val="0"/>
          <w:sz w:val="32"/>
          <w:szCs w:val="32"/>
          <w:highlight w:val="none"/>
        </w:rPr>
      </w:pPr>
      <w:r>
        <w:rPr>
          <w:rFonts w:hint="eastAsia" w:ascii="黑体" w:hAnsi="黑体" w:eastAsia="黑体"/>
          <w:b w:val="0"/>
          <w:bCs w:val="0"/>
          <w:sz w:val="32"/>
          <w:szCs w:val="32"/>
          <w:highlight w:val="none"/>
        </w:rPr>
        <w:t>六、投标时间、地点及联系人</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highlight w:val="none"/>
        </w:rPr>
        <w:t>（一）投标时间：</w:t>
      </w:r>
      <w:r>
        <w:rPr>
          <w:rFonts w:hint="eastAsia" w:ascii="仿宋" w:hAnsi="仿宋" w:eastAsia="仿宋" w:cs="仿宋_GB2312"/>
          <w:sz w:val="32"/>
          <w:szCs w:val="32"/>
          <w:highlight w:val="none"/>
          <w:lang w:val="en-US" w:eastAsia="zh-CN"/>
        </w:rPr>
        <w:t>2021年12月22日至2021年12月31日，</w:t>
      </w:r>
      <w:r>
        <w:rPr>
          <w:rFonts w:hint="eastAsia" w:ascii="仿宋" w:hAnsi="仿宋" w:eastAsia="仿宋" w:cs="仿宋_GB2312"/>
          <w:sz w:val="32"/>
          <w:szCs w:val="32"/>
          <w:highlight w:val="none"/>
        </w:rPr>
        <w:t>每日上午9:00-12:00，下午2:00-5:45（节假日除外）。</w:t>
      </w:r>
      <w:r>
        <w:rPr>
          <w:rFonts w:hint="eastAsia" w:ascii="仿宋" w:hAnsi="仿宋" w:eastAsia="仿宋" w:cs="仿宋_GB2312"/>
          <w:sz w:val="32"/>
          <w:szCs w:val="32"/>
        </w:rPr>
        <w:t>逾期未投标将不再受理。</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（二）投标地点：深圳市福田区福中三路市民中心B区行政服务大厅2号市发展改革委卡座（可邮寄，以送达日期为投标日期）。</w:t>
      </w:r>
    </w:p>
    <w:p>
      <w:pPr>
        <w:adjustRightInd w:val="0"/>
        <w:snapToGrid w:val="0"/>
        <w:spacing w:line="560" w:lineRule="exact"/>
        <w:ind w:firstLine="640" w:firstLineChars="200"/>
        <w:outlineLvl w:val="0"/>
        <w:rPr>
          <w:rFonts w:ascii="仿宋" w:hAnsi="仿宋" w:eastAsia="仿宋" w:cs="仿宋_GB2312"/>
          <w:sz w:val="32"/>
          <w:szCs w:val="32"/>
          <w:shd w:val="clear" w:color="auto" w:fill="FFFF00"/>
        </w:rPr>
      </w:pPr>
      <w:r>
        <w:rPr>
          <w:rFonts w:hint="eastAsia" w:ascii="仿宋" w:hAnsi="仿宋" w:eastAsia="仿宋" w:cs="仿宋_GB2312"/>
          <w:sz w:val="32"/>
          <w:szCs w:val="32"/>
        </w:rPr>
        <w:t>（三）联系人</w:t>
      </w:r>
      <w:r>
        <w:rPr>
          <w:rFonts w:hint="eastAsia" w:ascii="仿宋" w:hAnsi="仿宋" w:eastAsia="仿宋" w:cs="仿宋_GB2312"/>
          <w:sz w:val="32"/>
          <w:szCs w:val="32"/>
          <w:lang w:eastAsia="zh-CN"/>
        </w:rPr>
        <w:t>：王敏、吴新勇，</w:t>
      </w:r>
      <w:r>
        <w:rPr>
          <w:rFonts w:ascii="仿宋" w:hAnsi="仿宋" w:eastAsia="仿宋" w:cs="仿宋_GB2312"/>
          <w:sz w:val="32"/>
          <w:szCs w:val="32"/>
        </w:rPr>
        <w:t>0755-</w:t>
      </w:r>
      <w:r>
        <w:rPr>
          <w:rFonts w:hint="eastAsia" w:ascii="仿宋" w:hAnsi="仿宋" w:eastAsia="仿宋" w:cs="仿宋_GB2312"/>
          <w:sz w:val="32"/>
          <w:szCs w:val="32"/>
          <w:lang w:val="en-US" w:eastAsia="zh-CN"/>
        </w:rPr>
        <w:t>88120367、</w:t>
      </w:r>
      <w:r>
        <w:rPr>
          <w:rFonts w:ascii="仿宋" w:hAnsi="仿宋" w:eastAsia="仿宋" w:cs="仿宋_GB2312"/>
          <w:sz w:val="32"/>
          <w:szCs w:val="32"/>
        </w:rPr>
        <w:t>88128957</w:t>
      </w:r>
      <w:r>
        <w:rPr>
          <w:rFonts w:hint="eastAsia" w:ascii="仿宋" w:hAnsi="仿宋" w:eastAsia="仿宋" w:cs="仿宋_GB2312"/>
          <w:sz w:val="32"/>
          <w:szCs w:val="32"/>
        </w:rPr>
        <w:t>。</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七、投标文件递交内容</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（一）投标单位简介、投标人营业执照及相关证照（提供加盖公章的复印件，原件备查）。</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（二）法定代表人证明书及授权委托书（原件加盖公章）。</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（三）法定代表人及受委托人身份证复印件（复印件加盖公章）。</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（四）项目方案及报价单（原件加盖公章）。</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（五）投标人相关领域/项目经验证明材料（复印件加盖公章）；</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（六）投标人无重大违法记录声明函（原件加盖公章）；</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（七）投标及履约承诺函原件（格式见附件）；</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（八）住所地不在深圳的投标人应提供营业场所证明原件；</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（九）投标人认为有必要提供的其它材料。</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投标文件一式三份，整套材料密封并加盖骑缝，封面注明投标人的名称、地址、联系人及手机号码。</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八、重要提示</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投标单位有下列情况之一的，其投标将被拒绝或作无效投标处理：</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（一）未在规定时间内将投标文件送达规定地点的。</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（二）投标人不具备投标资格要求，或未提交相应资格证明材料。</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（三）投标文件未按规定密封、签字、盖章。</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（四）投标文件无法定代表人签字或无法定代表人有效授权委托的。</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（五）分项报价或投标总价高于预算金额（最高投标限价）的。</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（六）同一项目出现两个及以上报价，且按规定无法确定哪个是有效报价。</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（八）所投服务在质量、技术、方案等方面没有实质性满足招标文件要求。</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（九）法律、法规规定的其他情形。</w:t>
      </w:r>
    </w:p>
    <w:p>
      <w:pPr>
        <w:adjustRightInd w:val="0"/>
        <w:snapToGrid w:val="0"/>
        <w:spacing w:line="560" w:lineRule="exact"/>
        <w:ind w:firstLine="640" w:firstLineChars="200"/>
        <w:outlineLvl w:val="0"/>
        <w:rPr>
          <w:rFonts w:ascii="黑体" w:hAnsi="黑体" w:eastAsia="黑体"/>
          <w:b w:val="0"/>
          <w:bCs w:val="0"/>
          <w:sz w:val="32"/>
          <w:szCs w:val="32"/>
        </w:rPr>
      </w:pPr>
      <w:r>
        <w:rPr>
          <w:rFonts w:hint="eastAsia" w:ascii="黑体" w:hAnsi="黑体" w:eastAsia="黑体"/>
          <w:b w:val="0"/>
          <w:bCs w:val="0"/>
          <w:sz w:val="32"/>
          <w:szCs w:val="32"/>
        </w:rPr>
        <w:t>九、评标方法</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（一）评标方法为综合评分法，具体评分标准和规则为：投标文件从技术、商务和价格等三个评审因素进行评分，出现总分相同的，则总分相等投标人中最低价者中标。</w:t>
      </w:r>
    </w:p>
    <w:p>
      <w:pPr>
        <w:spacing w:before="156" w:beforeLines="50" w:after="156" w:afterLines="50"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（二）综合评分表</w:t>
      </w:r>
    </w:p>
    <w:tbl>
      <w:tblPr>
        <w:tblStyle w:val="43"/>
        <w:tblW w:w="914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730"/>
        <w:gridCol w:w="685"/>
        <w:gridCol w:w="6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ind w:left="-78" w:leftChars="-37" w:right="-73" w:rightChars="-35"/>
              <w:jc w:val="center"/>
              <w:rPr>
                <w:rFonts w:ascii="宋体" w:hAnsi="宋体" w:cs="宋体"/>
                <w:b/>
              </w:rPr>
            </w:pPr>
            <w:r>
              <w:rPr>
                <w:rFonts w:hint="eastAsia" w:ascii="宋体" w:hAnsi="宋体" w:cs="宋体"/>
                <w:b/>
              </w:rPr>
              <w:t>评审部分</w:t>
            </w:r>
          </w:p>
        </w:tc>
        <w:tc>
          <w:tcPr>
            <w:tcW w:w="1355" w:type="dxa"/>
            <w:vAlign w:val="center"/>
          </w:tcPr>
          <w:p>
            <w:pPr>
              <w:ind w:left="-78" w:leftChars="-37" w:right="-73" w:rightChars="-35"/>
              <w:jc w:val="center"/>
              <w:rPr>
                <w:rFonts w:ascii="宋体" w:hAnsi="宋体" w:cs="宋体"/>
                <w:b/>
              </w:rPr>
            </w:pPr>
            <w:r>
              <w:rPr>
                <w:rFonts w:hint="eastAsia" w:ascii="宋体" w:hAnsi="宋体" w:cs="宋体"/>
                <w:b/>
              </w:rPr>
              <w:t>评审因素</w:t>
            </w:r>
          </w:p>
        </w:tc>
        <w:tc>
          <w:tcPr>
            <w:tcW w:w="5730" w:type="dxa"/>
            <w:vAlign w:val="center"/>
          </w:tcPr>
          <w:p>
            <w:pPr>
              <w:ind w:left="-78" w:leftChars="-37" w:right="-73" w:rightChars="-35"/>
              <w:jc w:val="center"/>
              <w:rPr>
                <w:rFonts w:ascii="宋体" w:hAnsi="宋体" w:cs="宋体"/>
                <w:b/>
              </w:rPr>
            </w:pPr>
            <w:r>
              <w:rPr>
                <w:rFonts w:hint="eastAsia" w:ascii="宋体" w:hAnsi="宋体" w:cs="宋体"/>
                <w:b/>
              </w:rPr>
              <w:t>评分细则</w:t>
            </w:r>
          </w:p>
        </w:tc>
        <w:tc>
          <w:tcPr>
            <w:tcW w:w="685" w:type="dxa"/>
            <w:tcBorders>
              <w:righ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权重</w:t>
            </w:r>
          </w:p>
        </w:tc>
        <w:tc>
          <w:tcPr>
            <w:tcW w:w="697" w:type="dxa"/>
            <w:tcBorders>
              <w:lef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ind w:left="-78" w:leftChars="-37" w:right="-73" w:rightChars="-35"/>
              <w:jc w:val="center"/>
              <w:rPr>
                <w:rFonts w:ascii="宋体" w:hAnsi="宋体" w:cs="宋体"/>
                <w:b/>
              </w:rPr>
            </w:pPr>
            <w:r>
              <w:rPr>
                <w:rFonts w:hint="eastAsia" w:ascii="宋体" w:hAnsi="宋体" w:cs="宋体"/>
                <w:b/>
              </w:rPr>
              <w:t>一</w:t>
            </w:r>
          </w:p>
        </w:tc>
        <w:tc>
          <w:tcPr>
            <w:tcW w:w="8467" w:type="dxa"/>
            <w:gridSpan w:val="4"/>
            <w:vAlign w:val="center"/>
          </w:tcPr>
          <w:p>
            <w:pPr>
              <w:ind w:left="-78" w:leftChars="-37" w:right="-73" w:rightChars="-35"/>
              <w:jc w:val="center"/>
              <w:rPr>
                <w:rFonts w:ascii="宋体" w:hAnsi="宋体" w:cs="宋体"/>
                <w:b/>
              </w:rPr>
            </w:pPr>
            <w:r>
              <w:rPr>
                <w:rFonts w:hint="eastAsia" w:ascii="宋体" w:hAnsi="宋体"/>
                <w:b/>
              </w:rPr>
              <w:t>技术部分（合计</w:t>
            </w:r>
            <w:r>
              <w:rPr>
                <w:rFonts w:ascii="宋体" w:hAnsi="宋体"/>
                <w:b/>
              </w:rPr>
              <w:t>35</w:t>
            </w:r>
            <w:r>
              <w:rPr>
                <w:rFonts w:hint="eastAsia" w:ascii="宋体" w:hAnsi="宋体"/>
                <w:b/>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pStyle w:val="96"/>
              <w:numPr>
                <w:ilvl w:val="0"/>
                <w:numId w:val="5"/>
              </w:numPr>
              <w:ind w:firstLineChars="0"/>
              <w:jc w:val="right"/>
              <w:rPr>
                <w:rFonts w:ascii="宋体" w:hAnsi="宋体"/>
                <w:szCs w:val="21"/>
              </w:rPr>
            </w:pPr>
          </w:p>
        </w:tc>
        <w:tc>
          <w:tcPr>
            <w:tcW w:w="1355" w:type="dxa"/>
            <w:vAlign w:val="center"/>
          </w:tcPr>
          <w:p>
            <w:pPr>
              <w:jc w:val="center"/>
              <w:rPr>
                <w:rFonts w:ascii="宋体" w:hAnsi="宋体" w:cs="宋体"/>
              </w:rPr>
            </w:pPr>
            <w:r>
              <w:rPr>
                <w:rFonts w:hint="eastAsia" w:ascii="宋体" w:hAnsi="宋体"/>
              </w:rPr>
              <w:t>工作方案</w:t>
            </w:r>
          </w:p>
        </w:tc>
        <w:tc>
          <w:tcPr>
            <w:tcW w:w="5730" w:type="dxa"/>
            <w:vAlign w:val="center"/>
          </w:tcPr>
          <w:p>
            <w:pPr>
              <w:ind w:left="-78" w:leftChars="-37" w:right="-73" w:rightChars="-35"/>
              <w:jc w:val="left"/>
              <w:rPr>
                <w:rFonts w:ascii="宋体" w:hAnsi="宋体" w:cs="宋体"/>
              </w:rPr>
            </w:pPr>
            <w:r>
              <w:rPr>
                <w:rFonts w:hint="eastAsia" w:ascii="宋体" w:hAnsi="宋体" w:cs="宋体"/>
              </w:rPr>
              <w:t>根据投标人提供的项目工作方案的全面性、针对性、可操作性等进行分档评审：</w:t>
            </w:r>
          </w:p>
          <w:p>
            <w:pPr>
              <w:ind w:left="-78" w:leftChars="-37" w:right="-73" w:rightChars="-35"/>
              <w:jc w:val="left"/>
              <w:rPr>
                <w:rFonts w:ascii="宋体" w:hAnsi="宋体" w:cs="宋体"/>
              </w:rPr>
            </w:pPr>
            <w:r>
              <w:rPr>
                <w:rFonts w:hint="eastAsia" w:ascii="宋体" w:hAnsi="宋体" w:cs="宋体"/>
              </w:rPr>
              <w:t>1.评价为优，得100%；</w:t>
            </w:r>
          </w:p>
          <w:p>
            <w:pPr>
              <w:ind w:left="-78" w:leftChars="-37" w:right="-73" w:rightChars="-35"/>
              <w:jc w:val="left"/>
              <w:rPr>
                <w:rFonts w:ascii="宋体" w:hAnsi="宋体" w:cs="宋体"/>
              </w:rPr>
            </w:pPr>
            <w:r>
              <w:rPr>
                <w:rFonts w:hint="eastAsia" w:ascii="宋体" w:hAnsi="宋体" w:cs="宋体"/>
              </w:rPr>
              <w:t>2.评价为良，得70%；</w:t>
            </w:r>
          </w:p>
          <w:p>
            <w:pPr>
              <w:ind w:left="-78" w:leftChars="-37" w:right="-73" w:rightChars="-35"/>
              <w:jc w:val="left"/>
              <w:rPr>
                <w:rFonts w:ascii="宋体" w:hAnsi="宋体" w:cs="宋体"/>
              </w:rPr>
            </w:pPr>
            <w:r>
              <w:rPr>
                <w:rFonts w:hint="eastAsia" w:ascii="宋体" w:hAnsi="宋体" w:cs="宋体"/>
              </w:rPr>
              <w:t>3.评价为中，得40%；</w:t>
            </w:r>
          </w:p>
          <w:p>
            <w:pPr>
              <w:ind w:left="-78" w:leftChars="-37" w:right="-73" w:rightChars="-35"/>
              <w:jc w:val="left"/>
              <w:rPr>
                <w:rFonts w:ascii="宋体" w:hAnsi="宋体" w:cs="宋体"/>
              </w:rPr>
            </w:pPr>
            <w:r>
              <w:rPr>
                <w:rFonts w:hint="eastAsia" w:ascii="宋体" w:hAnsi="宋体" w:cs="宋体"/>
              </w:rPr>
              <w:t>4.评价为差，得10%；</w:t>
            </w:r>
          </w:p>
        </w:tc>
        <w:tc>
          <w:tcPr>
            <w:tcW w:w="685" w:type="dxa"/>
            <w:tcBorders>
              <w:right w:val="single" w:color="auto" w:sz="4" w:space="0"/>
            </w:tcBorders>
            <w:vAlign w:val="center"/>
          </w:tcPr>
          <w:p>
            <w:pPr>
              <w:ind w:left="-78" w:leftChars="-37" w:right="-73" w:rightChars="-35"/>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w:t>
            </w:r>
            <w:r>
              <w:rPr>
                <w:rFonts w:hint="eastAsia" w:ascii="宋体" w:hAnsi="宋体" w:cs="宋体"/>
                <w:color w:val="000000" w:themeColor="text1"/>
                <w14:textFill>
                  <w14:solidFill>
                    <w14:schemeClr w14:val="tx1"/>
                  </w14:solidFill>
                </w14:textFill>
              </w:rPr>
              <w:t>%</w:t>
            </w:r>
          </w:p>
        </w:tc>
        <w:tc>
          <w:tcPr>
            <w:tcW w:w="697" w:type="dxa"/>
            <w:tcBorders>
              <w:left w:val="single" w:color="auto" w:sz="4" w:space="0"/>
            </w:tcBorders>
            <w:vAlign w:val="center"/>
          </w:tcPr>
          <w:p>
            <w:pPr>
              <w:ind w:left="-78" w:leftChars="-37" w:right="-73" w:rightChars="-35"/>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pStyle w:val="96"/>
              <w:numPr>
                <w:ilvl w:val="0"/>
                <w:numId w:val="5"/>
              </w:numPr>
              <w:ind w:firstLineChars="0"/>
              <w:jc w:val="right"/>
              <w:rPr>
                <w:rFonts w:ascii="宋体" w:hAnsi="宋体"/>
                <w:szCs w:val="21"/>
              </w:rPr>
            </w:pPr>
          </w:p>
        </w:tc>
        <w:tc>
          <w:tcPr>
            <w:tcW w:w="1355" w:type="dxa"/>
            <w:vAlign w:val="center"/>
          </w:tcPr>
          <w:p>
            <w:pPr>
              <w:jc w:val="center"/>
              <w:rPr>
                <w:rFonts w:ascii="宋体" w:hAnsi="宋体"/>
              </w:rPr>
            </w:pPr>
            <w:r>
              <w:rPr>
                <w:rFonts w:hint="eastAsia" w:ascii="宋体" w:hAnsi="宋体"/>
              </w:rPr>
              <w:t>质量保障措施及方案</w:t>
            </w:r>
          </w:p>
        </w:tc>
        <w:tc>
          <w:tcPr>
            <w:tcW w:w="5730" w:type="dxa"/>
            <w:vAlign w:val="center"/>
          </w:tcPr>
          <w:p>
            <w:pPr>
              <w:ind w:left="-78" w:leftChars="-37" w:right="-73" w:rightChars="-35"/>
              <w:jc w:val="left"/>
              <w:rPr>
                <w:rFonts w:ascii="宋体" w:hAnsi="宋体" w:cs="宋体"/>
              </w:rPr>
            </w:pPr>
            <w:r>
              <w:rPr>
                <w:rFonts w:hint="eastAsia" w:ascii="宋体" w:hAnsi="宋体" w:cs="宋体"/>
              </w:rPr>
              <w:t>根据投标人对项目进度计划和人员安排、质量和进度保障措施是否合理、可行等进行分档评审：</w:t>
            </w:r>
          </w:p>
          <w:p>
            <w:pPr>
              <w:ind w:left="-78" w:leftChars="-37" w:right="-73" w:rightChars="-35"/>
              <w:jc w:val="left"/>
              <w:rPr>
                <w:rFonts w:ascii="宋体" w:hAnsi="宋体" w:cs="宋体"/>
              </w:rPr>
            </w:pPr>
            <w:r>
              <w:rPr>
                <w:rFonts w:hint="eastAsia" w:ascii="宋体" w:hAnsi="宋体" w:cs="宋体"/>
              </w:rPr>
              <w:t>1.评价为优，得100%；</w:t>
            </w:r>
          </w:p>
          <w:p>
            <w:pPr>
              <w:ind w:left="-78" w:leftChars="-37" w:right="-73" w:rightChars="-35"/>
              <w:jc w:val="left"/>
              <w:rPr>
                <w:rFonts w:ascii="宋体" w:hAnsi="宋体" w:cs="宋体"/>
              </w:rPr>
            </w:pPr>
            <w:r>
              <w:rPr>
                <w:rFonts w:hint="eastAsia" w:ascii="宋体" w:hAnsi="宋体" w:cs="宋体"/>
              </w:rPr>
              <w:t>2.评价为良，得70%；</w:t>
            </w:r>
          </w:p>
          <w:p>
            <w:pPr>
              <w:ind w:left="-78" w:leftChars="-37" w:right="-73" w:rightChars="-35"/>
              <w:jc w:val="left"/>
              <w:rPr>
                <w:rFonts w:ascii="宋体" w:hAnsi="宋体" w:cs="宋体"/>
              </w:rPr>
            </w:pPr>
            <w:r>
              <w:rPr>
                <w:rFonts w:hint="eastAsia" w:ascii="宋体" w:hAnsi="宋体" w:cs="宋体"/>
              </w:rPr>
              <w:t>3.评价为中，得40%；</w:t>
            </w:r>
          </w:p>
          <w:p>
            <w:pPr>
              <w:ind w:left="-78" w:leftChars="-37" w:right="-73" w:rightChars="-35"/>
              <w:jc w:val="left"/>
              <w:rPr>
                <w:rFonts w:ascii="宋体" w:hAnsi="宋体" w:cs="宋体"/>
              </w:rPr>
            </w:pPr>
            <w:r>
              <w:rPr>
                <w:rFonts w:hint="eastAsia" w:ascii="宋体" w:hAnsi="宋体" w:cs="宋体"/>
              </w:rPr>
              <w:t>4.评价为差，得10%；</w:t>
            </w:r>
          </w:p>
        </w:tc>
        <w:tc>
          <w:tcPr>
            <w:tcW w:w="685" w:type="dxa"/>
            <w:tcBorders>
              <w:right w:val="single" w:color="auto" w:sz="4" w:space="0"/>
            </w:tcBorders>
            <w:vAlign w:val="center"/>
          </w:tcPr>
          <w:p>
            <w:pPr>
              <w:ind w:left="-78" w:leftChars="-37" w:right="-73" w:rightChars="-35"/>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w:t>
            </w:r>
          </w:p>
        </w:tc>
        <w:tc>
          <w:tcPr>
            <w:tcW w:w="697" w:type="dxa"/>
            <w:tcBorders>
              <w:left w:val="single" w:color="auto" w:sz="4" w:space="0"/>
            </w:tcBorders>
            <w:vAlign w:val="center"/>
          </w:tcPr>
          <w:p>
            <w:pPr>
              <w:ind w:left="-78" w:leftChars="-37" w:right="-73" w:rightChars="-35"/>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w:t>
            </w:r>
            <w:r>
              <w:rPr>
                <w:rFonts w:hint="eastAsia" w:ascii="宋体" w:hAnsi="宋体" w:cs="宋体"/>
                <w:color w:val="000000" w:themeColor="text1"/>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pStyle w:val="96"/>
              <w:numPr>
                <w:ilvl w:val="0"/>
                <w:numId w:val="5"/>
              </w:numPr>
              <w:ind w:firstLineChars="0"/>
              <w:jc w:val="right"/>
              <w:rPr>
                <w:rFonts w:ascii="宋体" w:hAnsi="宋体"/>
                <w:szCs w:val="21"/>
              </w:rPr>
            </w:pPr>
          </w:p>
        </w:tc>
        <w:tc>
          <w:tcPr>
            <w:tcW w:w="1355" w:type="dxa"/>
            <w:vAlign w:val="center"/>
          </w:tcPr>
          <w:p>
            <w:pPr>
              <w:jc w:val="center"/>
              <w:rPr>
                <w:rFonts w:ascii="宋体" w:hAnsi="宋体"/>
              </w:rPr>
            </w:pPr>
            <w:r>
              <w:rPr>
                <w:rFonts w:hint="eastAsia" w:ascii="宋体" w:hAnsi="宋体"/>
              </w:rPr>
              <w:t>违约承诺</w:t>
            </w:r>
          </w:p>
        </w:tc>
        <w:tc>
          <w:tcPr>
            <w:tcW w:w="5730" w:type="dxa"/>
            <w:vAlign w:val="center"/>
          </w:tcPr>
          <w:p>
            <w:pPr>
              <w:ind w:left="-78" w:leftChars="-37" w:right="-73" w:rightChars="-35"/>
              <w:jc w:val="left"/>
              <w:rPr>
                <w:rFonts w:ascii="宋体" w:hAnsi="宋体" w:cs="宋体"/>
              </w:rPr>
            </w:pPr>
            <w:r>
              <w:rPr>
                <w:rFonts w:hint="eastAsia" w:ascii="宋体" w:hAnsi="宋体" w:cs="宋体"/>
              </w:rPr>
              <w:t>提供违约承诺，承诺满足招标文件要求，保证措施合理且有针对性，有具体的违约责任承诺。</w:t>
            </w:r>
          </w:p>
          <w:p>
            <w:pPr>
              <w:ind w:left="-78" w:leftChars="-37" w:right="-73" w:rightChars="-35"/>
              <w:jc w:val="left"/>
              <w:rPr>
                <w:rFonts w:ascii="宋体" w:hAnsi="宋体" w:cs="宋体"/>
              </w:rPr>
            </w:pPr>
            <w:r>
              <w:rPr>
                <w:rFonts w:hint="eastAsia" w:ascii="宋体" w:hAnsi="宋体" w:cs="宋体"/>
              </w:rPr>
              <w:t>投标人提供违约承诺得100%。要求提供承诺（格式自定）作为得分依据，未提供承诺或承诺内容不满足要求不得分。</w:t>
            </w:r>
          </w:p>
        </w:tc>
        <w:tc>
          <w:tcPr>
            <w:tcW w:w="685" w:type="dxa"/>
            <w:tcBorders>
              <w:right w:val="single" w:color="auto" w:sz="4" w:space="0"/>
            </w:tcBorders>
            <w:vAlign w:val="center"/>
          </w:tcPr>
          <w:p>
            <w:pPr>
              <w:ind w:left="-78" w:leftChars="-37" w:right="-73" w:rightChars="-3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w:t>
            </w:r>
          </w:p>
        </w:tc>
        <w:tc>
          <w:tcPr>
            <w:tcW w:w="697" w:type="dxa"/>
            <w:tcBorders>
              <w:left w:val="single" w:color="auto" w:sz="4" w:space="0"/>
            </w:tcBorders>
            <w:vAlign w:val="center"/>
          </w:tcPr>
          <w:p>
            <w:pPr>
              <w:ind w:left="-78" w:leftChars="-37" w:right="-73" w:rightChars="-3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二</w:t>
            </w:r>
          </w:p>
        </w:tc>
        <w:tc>
          <w:tcPr>
            <w:tcW w:w="8467" w:type="dxa"/>
            <w:gridSpan w:val="4"/>
            <w:vAlign w:val="center"/>
          </w:tcPr>
          <w:p>
            <w:pPr>
              <w:ind w:left="-78" w:leftChars="-37" w:right="-73" w:rightChars="-35"/>
              <w:jc w:val="center"/>
              <w:rPr>
                <w:rFonts w:ascii="宋体" w:hAnsi="宋体" w:cs="宋体"/>
                <w:b/>
              </w:rPr>
            </w:pPr>
            <w:r>
              <w:rPr>
                <w:rFonts w:hint="eastAsia" w:ascii="宋体" w:hAnsi="宋体" w:cs="宋体"/>
                <w:b/>
              </w:rPr>
              <w:t>商务部分</w:t>
            </w:r>
            <w:r>
              <w:rPr>
                <w:rFonts w:hint="eastAsia" w:ascii="宋体" w:hAnsi="宋体"/>
                <w:b/>
              </w:rPr>
              <w:t>（合计</w:t>
            </w:r>
            <w:r>
              <w:rPr>
                <w:rFonts w:ascii="宋体" w:hAnsi="宋体"/>
                <w:b/>
              </w:rPr>
              <w:t>55</w:t>
            </w:r>
            <w:r>
              <w:rPr>
                <w:rFonts w:hint="eastAsia" w:ascii="宋体" w:hAnsi="宋体"/>
                <w:b/>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pStyle w:val="96"/>
              <w:numPr>
                <w:ilvl w:val="0"/>
                <w:numId w:val="6"/>
              </w:numPr>
              <w:ind w:firstLineChars="0"/>
              <w:jc w:val="center"/>
              <w:rPr>
                <w:rFonts w:ascii="宋体" w:hAnsi="宋体"/>
                <w:szCs w:val="21"/>
              </w:rPr>
            </w:pPr>
          </w:p>
        </w:tc>
        <w:tc>
          <w:tcPr>
            <w:tcW w:w="1355" w:type="dxa"/>
            <w:vAlign w:val="center"/>
          </w:tcPr>
          <w:p>
            <w:pPr>
              <w:jc w:val="center"/>
              <w:rPr>
                <w:rFonts w:ascii="宋体" w:hAnsi="宋体"/>
              </w:rPr>
            </w:pPr>
            <w:r>
              <w:rPr>
                <w:rFonts w:hint="eastAsia" w:ascii="宋体" w:hAnsi="宋体"/>
              </w:rPr>
              <w:t>投标人经验</w:t>
            </w:r>
          </w:p>
        </w:tc>
        <w:tc>
          <w:tcPr>
            <w:tcW w:w="5730" w:type="dxa"/>
            <w:vAlign w:val="center"/>
          </w:tcPr>
          <w:p>
            <w:pPr>
              <w:jc w:val="left"/>
              <w:rPr>
                <w:rFonts w:ascii="宋体" w:hAnsi="宋体"/>
                <w:b/>
                <w:bCs/>
              </w:rPr>
            </w:pPr>
            <w:r>
              <w:rPr>
                <w:rFonts w:hint="eastAsia" w:ascii="宋体" w:hAnsi="宋体"/>
                <w:b/>
                <w:bCs/>
              </w:rPr>
              <w:t>1、评分内容：</w:t>
            </w:r>
          </w:p>
          <w:p>
            <w:pPr>
              <w:jc w:val="left"/>
              <w:rPr>
                <w:rFonts w:ascii="宋体" w:hAnsi="宋体"/>
              </w:rPr>
            </w:pPr>
            <w:r>
              <w:rPr>
                <w:rFonts w:hint="eastAsia" w:ascii="宋体" w:hAnsi="宋体"/>
              </w:rPr>
              <w:t>牵头承担过国家、省或市级政策研究、规划编制、制度评估等政府课题的，按国家级每项20%、省级每项15%、市级每项10%进行计分，最高得分不超过100%。</w:t>
            </w:r>
            <w:r>
              <w:rPr>
                <w:rFonts w:ascii="宋体" w:hAnsi="宋体"/>
              </w:rPr>
              <w:t xml:space="preserve"> </w:t>
            </w:r>
          </w:p>
          <w:p>
            <w:pPr>
              <w:jc w:val="left"/>
              <w:rPr>
                <w:rFonts w:ascii="宋体" w:hAnsi="宋体"/>
                <w:b/>
                <w:bCs/>
              </w:rPr>
            </w:pPr>
            <w:r>
              <w:rPr>
                <w:rFonts w:hint="eastAsia" w:ascii="宋体" w:hAnsi="宋体"/>
                <w:b/>
                <w:bCs/>
              </w:rPr>
              <w:t>2、评分依据：</w:t>
            </w:r>
          </w:p>
          <w:p>
            <w:pPr>
              <w:jc w:val="left"/>
              <w:rPr>
                <w:rFonts w:ascii="宋体" w:hAnsi="宋体"/>
              </w:rPr>
            </w:pPr>
            <w:r>
              <w:rPr>
                <w:rFonts w:hint="eastAsia" w:ascii="宋体" w:hAnsi="宋体"/>
              </w:rPr>
              <w:t>（1）要求提供中标通知书、合同关键页或其他证明文件。</w:t>
            </w:r>
          </w:p>
          <w:p>
            <w:pPr>
              <w:jc w:val="left"/>
              <w:rPr>
                <w:rFonts w:ascii="宋体" w:hAnsi="宋体" w:cs="宋体"/>
              </w:rPr>
            </w:pPr>
            <w:r>
              <w:rPr>
                <w:rFonts w:hint="eastAsia" w:ascii="宋体" w:hAnsi="宋体"/>
              </w:rPr>
              <w:t>（2）以上资料均要求提供扫描件（或官方网站截图）。评分中出现无证明资料或专家无法凭所提供资料判断是否得分的情况，一律作不得分处理。</w:t>
            </w:r>
          </w:p>
        </w:tc>
        <w:tc>
          <w:tcPr>
            <w:tcW w:w="685" w:type="dxa"/>
            <w:tcBorders>
              <w:right w:val="single" w:color="auto" w:sz="4" w:space="0"/>
            </w:tcBorders>
            <w:vAlign w:val="center"/>
          </w:tcPr>
          <w:p>
            <w:pPr>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14:textFill>
                  <w14:solidFill>
                    <w14:schemeClr w14:val="tx1"/>
                  </w14:solidFill>
                </w14:textFill>
              </w:rPr>
              <w:t>%</w:t>
            </w:r>
          </w:p>
        </w:tc>
        <w:tc>
          <w:tcPr>
            <w:tcW w:w="697" w:type="dxa"/>
            <w:tcBorders>
              <w:left w:val="single" w:color="auto" w:sz="4" w:space="0"/>
            </w:tcBorders>
            <w:vAlign w:val="center"/>
          </w:tcPr>
          <w:p>
            <w:pPr>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20</w:t>
            </w:r>
            <w:r>
              <w:rPr>
                <w:rFonts w:hint="eastAsia" w:ascii="宋体" w:hAnsi="宋体" w:cs="宋体"/>
                <w:color w:val="000000" w:themeColor="text1"/>
                <w:kern w:val="0"/>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pStyle w:val="96"/>
              <w:numPr>
                <w:ilvl w:val="0"/>
                <w:numId w:val="6"/>
              </w:numPr>
              <w:ind w:firstLineChars="0"/>
              <w:jc w:val="center"/>
              <w:rPr>
                <w:rFonts w:ascii="宋体" w:hAnsi="宋体"/>
                <w:szCs w:val="21"/>
              </w:rPr>
            </w:pPr>
          </w:p>
        </w:tc>
        <w:tc>
          <w:tcPr>
            <w:tcW w:w="1355" w:type="dxa"/>
            <w:vAlign w:val="center"/>
          </w:tcPr>
          <w:p>
            <w:pPr>
              <w:jc w:val="center"/>
              <w:rPr>
                <w:rFonts w:ascii="宋体" w:cs="宋体"/>
              </w:rPr>
            </w:pPr>
            <w:r>
              <w:rPr>
                <w:rFonts w:hint="eastAsia" w:ascii="宋体" w:cs="宋体"/>
              </w:rPr>
              <w:t>投标人获奖情况</w:t>
            </w:r>
          </w:p>
        </w:tc>
        <w:tc>
          <w:tcPr>
            <w:tcW w:w="5730" w:type="dxa"/>
            <w:vAlign w:val="center"/>
          </w:tcPr>
          <w:p>
            <w:pPr>
              <w:widowControl/>
              <w:jc w:val="left"/>
              <w:rPr>
                <w:rFonts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widowControl/>
              <w:jc w:val="left"/>
              <w:rPr>
                <w:rFonts w:ascii="宋体" w:hAnsi="宋体" w:cs="宋体"/>
                <w:kern w:val="0"/>
                <w:sz w:val="22"/>
              </w:rPr>
            </w:pPr>
            <w:r>
              <w:rPr>
                <w:rFonts w:hint="eastAsia" w:ascii="宋体" w:hAnsi="宋体" w:cs="宋体"/>
                <w:kern w:val="0"/>
                <w:sz w:val="22"/>
              </w:rPr>
              <w:t>投标人承担的研究课题，获得市级及以上级别的奖励，或作为市级及以上级别政策文件进行公开发布的，每提供1个得50%，最高得分不超过100%。</w:t>
            </w:r>
          </w:p>
          <w:p>
            <w:pPr>
              <w:widowControl/>
              <w:jc w:val="left"/>
              <w:rPr>
                <w:rFonts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widowControl/>
              <w:jc w:val="left"/>
              <w:rPr>
                <w:rFonts w:ascii="宋体" w:hAnsi="宋体" w:cs="宋体"/>
                <w:kern w:val="0"/>
                <w:sz w:val="22"/>
              </w:rPr>
            </w:pPr>
            <w:r>
              <w:rPr>
                <w:rFonts w:hint="eastAsia" w:ascii="宋体" w:hAnsi="宋体" w:cs="宋体"/>
                <w:kern w:val="0"/>
                <w:sz w:val="22"/>
              </w:rPr>
              <w:t>（1）要求提供相关证明文件。</w:t>
            </w:r>
          </w:p>
          <w:p>
            <w:pPr>
              <w:jc w:val="left"/>
              <w:rPr>
                <w:rFonts w:ascii="宋体" w:hAnsi="宋体"/>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685" w:type="dxa"/>
            <w:tcBorders>
              <w:right w:val="single" w:color="auto" w:sz="4" w:space="0"/>
            </w:tcBorders>
            <w:vAlign w:val="center"/>
          </w:tcPr>
          <w:p>
            <w:pPr>
              <w:ind w:left="-78" w:leftChars="-37" w:right="-73" w:rightChars="-35"/>
              <w:jc w:val="center"/>
              <w:rPr>
                <w:rFonts w:ascii="宋体" w:hAnsi="宋体"/>
              </w:rPr>
            </w:pPr>
            <w:r>
              <w:rPr>
                <w:rFonts w:hint="eastAsia" w:ascii="宋体" w:hAnsi="宋体"/>
              </w:rPr>
              <w:t>1</w:t>
            </w:r>
            <w:r>
              <w:rPr>
                <w:rFonts w:ascii="宋体" w:hAnsi="宋体"/>
              </w:rPr>
              <w:t>0%</w:t>
            </w:r>
          </w:p>
        </w:tc>
        <w:tc>
          <w:tcPr>
            <w:tcW w:w="697"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1</w:t>
            </w:r>
            <w:r>
              <w:rPr>
                <w:rFonts w:ascii="宋体" w:hAnsi="宋体" w:cs="宋体"/>
              </w:rPr>
              <w:t>0</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pStyle w:val="96"/>
              <w:numPr>
                <w:ilvl w:val="0"/>
                <w:numId w:val="6"/>
              </w:numPr>
              <w:ind w:firstLineChars="0"/>
              <w:jc w:val="center"/>
              <w:rPr>
                <w:rFonts w:ascii="宋体" w:hAnsi="宋体"/>
                <w:szCs w:val="21"/>
              </w:rPr>
            </w:pPr>
          </w:p>
        </w:tc>
        <w:tc>
          <w:tcPr>
            <w:tcW w:w="1355" w:type="dxa"/>
            <w:vAlign w:val="center"/>
          </w:tcPr>
          <w:p>
            <w:pPr>
              <w:jc w:val="center"/>
              <w:rPr>
                <w:rFonts w:ascii="宋体" w:cs="宋体"/>
              </w:rPr>
            </w:pPr>
            <w:r>
              <w:rPr>
                <w:rFonts w:hint="eastAsia" w:ascii="宋体" w:cs="宋体"/>
              </w:rPr>
              <w:t>拟安排的项目负责人情况（仅限一人）</w:t>
            </w:r>
          </w:p>
        </w:tc>
        <w:tc>
          <w:tcPr>
            <w:tcW w:w="5730" w:type="dxa"/>
            <w:vAlign w:val="center"/>
          </w:tcPr>
          <w:p>
            <w:pPr>
              <w:jc w:val="left"/>
              <w:rPr>
                <w:rFonts w:ascii="宋体" w:hAnsi="宋体"/>
                <w:b/>
                <w:bCs/>
              </w:rPr>
            </w:pPr>
            <w:r>
              <w:rPr>
                <w:rFonts w:hint="eastAsia" w:ascii="宋体" w:hAnsi="宋体"/>
                <w:b/>
                <w:bCs/>
              </w:rPr>
              <w:t>1.评分内容：</w:t>
            </w:r>
          </w:p>
          <w:p>
            <w:pPr>
              <w:jc w:val="left"/>
              <w:rPr>
                <w:rFonts w:ascii="宋体" w:hAnsi="宋体"/>
              </w:rPr>
            </w:pPr>
            <w:r>
              <w:rPr>
                <w:rFonts w:hint="eastAsia" w:ascii="宋体" w:hAnsi="宋体"/>
              </w:rPr>
              <w:t>（1）项目负责人具有高级职称或博士学位，得50%，具有中级职称或硕士学位，得25%；</w:t>
            </w:r>
          </w:p>
          <w:p>
            <w:pPr>
              <w:jc w:val="left"/>
              <w:rPr>
                <w:rFonts w:ascii="宋体" w:hAnsi="宋体"/>
              </w:rPr>
            </w:pPr>
            <w:r>
              <w:rPr>
                <w:rFonts w:hint="eastAsia" w:ascii="宋体" w:hAnsi="宋体"/>
              </w:rPr>
              <w:t>（2）项目负责人主持或参与过市级及以上医疗卫生与医学科学设施规划布局领域的政策研究、资源调研、制度评估等政府课题的，每提供1个得25%；</w:t>
            </w:r>
          </w:p>
          <w:p>
            <w:pPr>
              <w:jc w:val="left"/>
              <w:rPr>
                <w:rFonts w:ascii="宋体" w:hAnsi="宋体"/>
              </w:rPr>
            </w:pPr>
            <w:r>
              <w:rPr>
                <w:rFonts w:hint="eastAsia" w:ascii="宋体" w:hAnsi="宋体"/>
              </w:rPr>
              <w:t>以上</w:t>
            </w:r>
            <w:r>
              <w:rPr>
                <w:rFonts w:ascii="宋体" w:hAnsi="宋体"/>
              </w:rPr>
              <w:t>2</w:t>
            </w:r>
            <w:r>
              <w:rPr>
                <w:rFonts w:hint="eastAsia" w:ascii="宋体" w:hAnsi="宋体"/>
              </w:rPr>
              <w:t>项合计最高得分不超过100%。</w:t>
            </w:r>
          </w:p>
          <w:p>
            <w:pPr>
              <w:jc w:val="left"/>
              <w:rPr>
                <w:rFonts w:ascii="宋体" w:hAnsi="宋体"/>
                <w:b/>
                <w:bCs/>
              </w:rPr>
            </w:pPr>
            <w:r>
              <w:rPr>
                <w:rFonts w:hint="eastAsia" w:ascii="宋体" w:hAnsi="宋体"/>
                <w:b/>
                <w:bCs/>
              </w:rPr>
              <w:t>2.评分依据：</w:t>
            </w:r>
          </w:p>
          <w:p>
            <w:pPr>
              <w:jc w:val="left"/>
              <w:rPr>
                <w:rFonts w:ascii="宋体" w:hAnsi="宋体"/>
              </w:rPr>
            </w:pPr>
            <w:r>
              <w:rPr>
                <w:rFonts w:hint="eastAsia" w:ascii="宋体" w:hAnsi="宋体"/>
              </w:rPr>
              <w:t>（1）要求提供通过投标人购买的项目负责人近三个月社保，学位或职称文件，业绩合同关键页或其他证明文件（需要体现人员信息，若无人员信息，须提供工作单位出具的证明材料）。</w:t>
            </w:r>
          </w:p>
          <w:p>
            <w:pPr>
              <w:jc w:val="left"/>
              <w:rPr>
                <w:rFonts w:ascii="宋体" w:hAnsi="宋体"/>
              </w:rPr>
            </w:pPr>
            <w:r>
              <w:rPr>
                <w:rFonts w:hint="eastAsia" w:ascii="宋体" w:hAnsi="宋体"/>
              </w:rPr>
              <w:t>（2）以上资料均要求提供扫描件（或官方网站截图），原件备查。评分中出现无证明资料或专家无法凭所提供资料判断是否得分的情况，一律作不得分处理。</w:t>
            </w:r>
          </w:p>
        </w:tc>
        <w:tc>
          <w:tcPr>
            <w:tcW w:w="685" w:type="dxa"/>
            <w:tcBorders>
              <w:right w:val="single" w:color="auto" w:sz="4" w:space="0"/>
            </w:tcBorders>
            <w:vAlign w:val="center"/>
          </w:tcPr>
          <w:p>
            <w:pPr>
              <w:ind w:left="-78" w:leftChars="-37" w:right="-73" w:rightChars="-35"/>
              <w:jc w:val="center"/>
              <w:rPr>
                <w:rFonts w:ascii="宋体" w:hAnsi="宋体"/>
              </w:rPr>
            </w:pPr>
            <w:r>
              <w:rPr>
                <w:rFonts w:hint="eastAsia" w:ascii="宋体" w:hAnsi="宋体"/>
              </w:rPr>
              <w:t>1</w:t>
            </w:r>
            <w:r>
              <w:rPr>
                <w:rFonts w:ascii="宋体" w:hAnsi="宋体"/>
              </w:rPr>
              <w:t>0%</w:t>
            </w:r>
          </w:p>
        </w:tc>
        <w:tc>
          <w:tcPr>
            <w:tcW w:w="697"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1</w:t>
            </w:r>
            <w:r>
              <w:rPr>
                <w:rFonts w:ascii="宋体" w:hAnsi="宋体" w:cs="宋体"/>
              </w:rPr>
              <w:t>0</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pStyle w:val="96"/>
              <w:numPr>
                <w:ilvl w:val="0"/>
                <w:numId w:val="6"/>
              </w:numPr>
              <w:ind w:firstLineChars="0"/>
              <w:jc w:val="center"/>
              <w:rPr>
                <w:rFonts w:ascii="宋体" w:hAnsi="宋体"/>
                <w:szCs w:val="21"/>
              </w:rPr>
            </w:pPr>
          </w:p>
        </w:tc>
        <w:tc>
          <w:tcPr>
            <w:tcW w:w="1355" w:type="dxa"/>
            <w:vAlign w:val="center"/>
          </w:tcPr>
          <w:p>
            <w:pPr>
              <w:jc w:val="center"/>
              <w:rPr>
                <w:rFonts w:ascii="宋体" w:cs="宋体"/>
              </w:rPr>
            </w:pPr>
            <w:r>
              <w:rPr>
                <w:rFonts w:hint="eastAsia" w:ascii="宋体" w:cs="宋体"/>
              </w:rPr>
              <w:t>拟安排的项目主要团队成员（主要技术人员）情况（项目负责人除外）</w:t>
            </w:r>
          </w:p>
        </w:tc>
        <w:tc>
          <w:tcPr>
            <w:tcW w:w="5730" w:type="dxa"/>
            <w:vAlign w:val="center"/>
          </w:tcPr>
          <w:p>
            <w:pPr>
              <w:widowControl/>
              <w:jc w:val="left"/>
              <w:rPr>
                <w:rFonts w:ascii="宋体" w:hAnsi="宋体" w:cs="宋体"/>
                <w:b/>
                <w:kern w:val="0"/>
                <w:sz w:val="22"/>
              </w:rPr>
            </w:pPr>
            <w:r>
              <w:rPr>
                <w:rFonts w:hint="eastAsia" w:ascii="宋体" w:hAnsi="宋体" w:cs="宋体"/>
                <w:b/>
                <w:kern w:val="0"/>
                <w:sz w:val="22"/>
              </w:rPr>
              <w:t>1</w:t>
            </w:r>
            <w:r>
              <w:rPr>
                <w:rFonts w:ascii="宋体" w:hAnsi="宋体" w:cs="宋体"/>
                <w:b/>
                <w:kern w:val="0"/>
                <w:sz w:val="22"/>
              </w:rPr>
              <w:t>.</w:t>
            </w:r>
            <w:r>
              <w:rPr>
                <w:rFonts w:hint="eastAsia" w:ascii="宋体" w:hAnsi="宋体" w:cs="宋体"/>
                <w:b/>
                <w:kern w:val="0"/>
                <w:sz w:val="22"/>
              </w:rPr>
              <w:t>评分内容：</w:t>
            </w:r>
          </w:p>
          <w:p>
            <w:pPr>
              <w:widowControl/>
              <w:jc w:val="left"/>
              <w:rPr>
                <w:rFonts w:ascii="宋体" w:hAnsi="宋体" w:cs="宋体"/>
                <w:kern w:val="0"/>
                <w:sz w:val="22"/>
              </w:rPr>
            </w:pPr>
            <w:r>
              <w:rPr>
                <w:rFonts w:hint="eastAsia" w:ascii="宋体" w:hAnsi="宋体" w:cs="宋体"/>
                <w:kern w:val="0"/>
                <w:sz w:val="22"/>
              </w:rPr>
              <w:t>项目团队中每提供1位有高级职称或博士学位人员得</w:t>
            </w:r>
            <w:r>
              <w:rPr>
                <w:rFonts w:ascii="宋体" w:hAnsi="宋体" w:cs="宋体"/>
                <w:kern w:val="0"/>
                <w:sz w:val="22"/>
              </w:rPr>
              <w:t>5</w:t>
            </w:r>
            <w:r>
              <w:rPr>
                <w:rFonts w:hint="eastAsia" w:ascii="宋体" w:hAnsi="宋体" w:cs="宋体"/>
                <w:kern w:val="0"/>
                <w:sz w:val="22"/>
              </w:rPr>
              <w:t>0%，每提供1位有中级职称或硕士学位人员得2</w:t>
            </w:r>
            <w:r>
              <w:rPr>
                <w:rFonts w:ascii="宋体" w:hAnsi="宋体" w:cs="宋体"/>
                <w:kern w:val="0"/>
                <w:sz w:val="22"/>
              </w:rPr>
              <w:t>5</w:t>
            </w:r>
            <w:r>
              <w:rPr>
                <w:rFonts w:hint="eastAsia" w:ascii="宋体" w:hAnsi="宋体" w:cs="宋体"/>
                <w:kern w:val="0"/>
                <w:sz w:val="22"/>
              </w:rPr>
              <w:t>%，最高得分不超过100%。</w:t>
            </w:r>
          </w:p>
          <w:p>
            <w:pPr>
              <w:widowControl/>
              <w:jc w:val="left"/>
              <w:rPr>
                <w:rFonts w:ascii="宋体" w:hAnsi="宋体" w:cs="宋体"/>
                <w:b/>
                <w:kern w:val="0"/>
                <w:sz w:val="22"/>
              </w:rPr>
            </w:pPr>
            <w:r>
              <w:rPr>
                <w:rFonts w:hint="eastAsia" w:ascii="宋体" w:hAnsi="宋体" w:cs="宋体"/>
                <w:b/>
                <w:kern w:val="0"/>
                <w:sz w:val="22"/>
              </w:rPr>
              <w:t>2</w:t>
            </w:r>
            <w:r>
              <w:rPr>
                <w:rFonts w:ascii="宋体" w:hAnsi="宋体" w:cs="宋体"/>
                <w:b/>
                <w:kern w:val="0"/>
                <w:sz w:val="22"/>
              </w:rPr>
              <w:t>.</w:t>
            </w:r>
            <w:r>
              <w:rPr>
                <w:rFonts w:hint="eastAsia" w:ascii="宋体" w:hAnsi="宋体" w:cs="宋体"/>
                <w:b/>
                <w:kern w:val="0"/>
                <w:sz w:val="22"/>
              </w:rPr>
              <w:t>评分依据：</w:t>
            </w:r>
          </w:p>
          <w:p>
            <w:pPr>
              <w:widowControl/>
              <w:jc w:val="left"/>
              <w:rPr>
                <w:rFonts w:ascii="宋体" w:hAnsi="宋体" w:cs="宋体"/>
                <w:kern w:val="0"/>
                <w:sz w:val="22"/>
              </w:rPr>
            </w:pPr>
            <w:r>
              <w:rPr>
                <w:rFonts w:hint="eastAsia" w:ascii="宋体" w:hAnsi="宋体" w:cs="宋体"/>
                <w:kern w:val="0"/>
                <w:sz w:val="22"/>
              </w:rPr>
              <w:t>（1）要求提供通过投标人购买的团队成员近三个月社保，学位或职称文件等。</w:t>
            </w:r>
          </w:p>
          <w:p>
            <w:pPr>
              <w:jc w:val="left"/>
              <w:rPr>
                <w:rFonts w:ascii="宋体" w:hAnsi="宋体"/>
              </w:rPr>
            </w:pPr>
            <w:r>
              <w:rPr>
                <w:rFonts w:hint="eastAsia" w:ascii="宋体" w:hAnsi="宋体" w:cs="宋体"/>
                <w:kern w:val="0"/>
                <w:sz w:val="22"/>
              </w:rPr>
              <w:t>（2）以上资料均要求提供扫描件（或官方网站截图），原件备查。评分中出现无证明资料或专家无法凭所提供资料判断是否得分的情况，一律作不得分处理。</w:t>
            </w:r>
          </w:p>
        </w:tc>
        <w:tc>
          <w:tcPr>
            <w:tcW w:w="685" w:type="dxa"/>
            <w:tcBorders>
              <w:right w:val="single" w:color="auto" w:sz="4" w:space="0"/>
            </w:tcBorders>
            <w:vAlign w:val="center"/>
          </w:tcPr>
          <w:p>
            <w:pPr>
              <w:ind w:left="-78" w:leftChars="-37" w:right="-73" w:rightChars="-35"/>
              <w:jc w:val="center"/>
              <w:rPr>
                <w:rFonts w:ascii="宋体" w:hAnsi="宋体"/>
              </w:rPr>
            </w:pPr>
            <w:r>
              <w:rPr>
                <w:rFonts w:hint="eastAsia" w:ascii="宋体" w:hAnsi="宋体"/>
              </w:rPr>
              <w:t>1</w:t>
            </w:r>
            <w:r>
              <w:rPr>
                <w:rFonts w:ascii="宋体" w:hAnsi="宋体"/>
              </w:rPr>
              <w:t>5%</w:t>
            </w:r>
          </w:p>
        </w:tc>
        <w:tc>
          <w:tcPr>
            <w:tcW w:w="697"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1</w:t>
            </w:r>
            <w:r>
              <w:rPr>
                <w:rFonts w:ascii="宋体" w:hAnsi="宋体" w:cs="宋体"/>
              </w:rPr>
              <w:t>5</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jc w:val="center"/>
              <w:rPr>
                <w:rFonts w:ascii="宋体" w:hAnsi="宋体"/>
                <w:b/>
              </w:rPr>
            </w:pPr>
            <w:r>
              <w:rPr>
                <w:rFonts w:hint="eastAsia" w:ascii="宋体" w:hAnsi="宋体"/>
                <w:b/>
              </w:rPr>
              <w:t>三</w:t>
            </w:r>
          </w:p>
        </w:tc>
        <w:tc>
          <w:tcPr>
            <w:tcW w:w="8467" w:type="dxa"/>
            <w:gridSpan w:val="4"/>
            <w:vAlign w:val="center"/>
          </w:tcPr>
          <w:p>
            <w:pPr>
              <w:ind w:left="-78" w:leftChars="-37" w:right="-73" w:rightChars="-35"/>
              <w:jc w:val="center"/>
              <w:rPr>
                <w:rFonts w:ascii="宋体" w:hAnsi="宋体" w:cs="宋体"/>
                <w:b/>
              </w:rPr>
            </w:pPr>
            <w:r>
              <w:rPr>
                <w:rFonts w:hint="eastAsia" w:ascii="宋体" w:hAnsi="宋体"/>
                <w:b/>
              </w:rPr>
              <w:t>价格部分（合计10分）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jc w:val="center"/>
              <w:rPr>
                <w:rFonts w:ascii="宋体" w:hAnsi="宋体"/>
              </w:rPr>
            </w:pPr>
            <w:r>
              <w:rPr>
                <w:rFonts w:hint="eastAsia" w:ascii="宋体" w:hAnsi="宋体"/>
              </w:rPr>
              <w:t>1</w:t>
            </w:r>
          </w:p>
        </w:tc>
        <w:tc>
          <w:tcPr>
            <w:tcW w:w="1355" w:type="dxa"/>
            <w:vAlign w:val="center"/>
          </w:tcPr>
          <w:p>
            <w:pPr>
              <w:jc w:val="center"/>
              <w:rPr>
                <w:rFonts w:ascii="宋体" w:hAnsi="宋体"/>
              </w:rPr>
            </w:pPr>
            <w:r>
              <w:rPr>
                <w:rFonts w:hint="eastAsia" w:ascii="宋体" w:hAnsi="宋体"/>
              </w:rPr>
              <w:t>投标报价</w:t>
            </w:r>
          </w:p>
        </w:tc>
        <w:tc>
          <w:tcPr>
            <w:tcW w:w="5730" w:type="dxa"/>
            <w:vAlign w:val="center"/>
          </w:tcPr>
          <w:p>
            <w:pPr>
              <w:autoSpaceDE w:val="0"/>
              <w:autoSpaceDN w:val="0"/>
              <w:adjustRightInd w:val="0"/>
              <w:snapToGrid w:val="0"/>
              <w:rPr>
                <w:rFonts w:ascii="宋体" w:hAnsi="宋体" w:cs="宋体"/>
                <w:kern w:val="0"/>
              </w:rPr>
            </w:pPr>
            <w:r>
              <w:rPr>
                <w:rFonts w:ascii="宋体" w:hAnsi="宋体" w:cs="宋体"/>
                <w:kern w:val="0"/>
              </w:rPr>
              <w:t>价格分</w:t>
            </w:r>
            <w:r>
              <w:rPr>
                <w:rFonts w:hint="eastAsia" w:ascii="宋体" w:hAnsi="宋体" w:cs="宋体"/>
                <w:kern w:val="0"/>
              </w:rPr>
              <w:t>应当采用低价优先法计算，即满足招标文件要求且投标价格最低的投标报价为评标基准价，其价格分为满分。其他投标人的价格分统一按照下列公式计算：</w:t>
            </w:r>
          </w:p>
          <w:p>
            <w:pPr>
              <w:widowControl/>
              <w:jc w:val="left"/>
              <w:rPr>
                <w:rFonts w:ascii="宋体" w:hAnsi="宋体" w:cs="宋体"/>
                <w:kern w:val="0"/>
              </w:rPr>
            </w:pPr>
            <w:r>
              <w:rPr>
                <w:rFonts w:hint="eastAsia" w:ascii="宋体" w:hAnsi="宋体" w:cs="宋体"/>
                <w:kern w:val="0"/>
              </w:rPr>
              <w:t>投标报价得分=(评标基准价／投标报价)×100×权重</w:t>
            </w:r>
          </w:p>
          <w:p>
            <w:pPr>
              <w:widowControl/>
              <w:jc w:val="left"/>
              <w:rPr>
                <w:rFonts w:ascii="宋体" w:cs="宋体"/>
              </w:rPr>
            </w:pPr>
            <w:r>
              <w:rPr>
                <w:rFonts w:hint="eastAsia" w:ascii="宋体" w:hAnsi="宋体"/>
                <w:bCs/>
              </w:rPr>
              <w:t>备注：1、因落实政府采购政策进行价格调整的，以调整后的价格计算评标基准价和投标报价</w:t>
            </w:r>
            <w:r>
              <w:rPr>
                <w:rFonts w:hint="eastAsia" w:ascii="宋体" w:cs="宋体"/>
              </w:rPr>
              <w:t>,详见《价格扣除》。</w:t>
            </w:r>
          </w:p>
          <w:p>
            <w:pPr>
              <w:rPr>
                <w:rFonts w:ascii="宋体" w:hAnsi="宋体"/>
                <w:bCs/>
              </w:rPr>
            </w:pPr>
            <w:r>
              <w:rPr>
                <w:rFonts w:hint="eastAsia" w:ascii="宋体" w:hAnsi="宋体"/>
                <w:bCs/>
              </w:rPr>
              <w:t>2、投标报价得分四舍五入后，</w:t>
            </w:r>
            <w:r>
              <w:rPr>
                <w:rFonts w:hint="eastAsia" w:ascii="Arial" w:hAnsi="Arial" w:cs="Arial"/>
                <w:szCs w:val="20"/>
              </w:rPr>
              <w:t>小数点后保留两位有效数</w:t>
            </w:r>
            <w:r>
              <w:rPr>
                <w:rFonts w:hint="eastAsia" w:ascii="宋体" w:hAnsi="宋体"/>
                <w:bCs/>
              </w:rPr>
              <w:t>；</w:t>
            </w:r>
          </w:p>
        </w:tc>
        <w:tc>
          <w:tcPr>
            <w:tcW w:w="685"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rPr>
              <w:t>10%</w:t>
            </w:r>
            <w:r>
              <w:rPr>
                <w:rFonts w:ascii="宋体" w:hAnsi="宋体" w:cs="宋体"/>
              </w:rPr>
              <w:t xml:space="preserve"> </w:t>
            </w:r>
          </w:p>
        </w:tc>
        <w:tc>
          <w:tcPr>
            <w:tcW w:w="697"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7765" w:type="dxa"/>
            <w:gridSpan w:val="3"/>
            <w:vAlign w:val="center"/>
          </w:tcPr>
          <w:p>
            <w:pPr>
              <w:ind w:left="-78" w:leftChars="-37" w:right="-73" w:rightChars="-35"/>
              <w:jc w:val="center"/>
              <w:rPr>
                <w:rFonts w:ascii="宋体" w:hAnsi="宋体" w:cs="宋体"/>
              </w:rPr>
            </w:pPr>
            <w:r>
              <w:rPr>
                <w:rFonts w:hint="eastAsia" w:ascii="宋体" w:hAnsi="宋体"/>
              </w:rPr>
              <w:t>合计</w:t>
            </w:r>
          </w:p>
        </w:tc>
        <w:tc>
          <w:tcPr>
            <w:tcW w:w="685"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rPr>
              <w:t>100%</w:t>
            </w:r>
          </w:p>
        </w:tc>
        <w:tc>
          <w:tcPr>
            <w:tcW w:w="697"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100分</w:t>
            </w:r>
          </w:p>
        </w:tc>
      </w:tr>
    </w:tbl>
    <w:p>
      <w:pPr>
        <w:rPr>
          <w:rFonts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pPr>
        <w:ind w:firstLine="600" w:firstLineChars="250"/>
        <w:rPr>
          <w:rFonts w:ascii="宋体" w:hAnsi="宋体" w:cs="宋体"/>
          <w:kern w:val="0"/>
          <w:sz w:val="24"/>
          <w:szCs w:val="24"/>
        </w:rPr>
      </w:pPr>
      <w:r>
        <w:rPr>
          <w:rFonts w:hint="eastAsia" w:ascii="宋体" w:hAnsi="宋体" w:cs="宋体"/>
          <w:kern w:val="0"/>
          <w:sz w:val="24"/>
          <w:szCs w:val="24"/>
        </w:rPr>
        <w:t>（1）权重：按百分比进行设置；</w:t>
      </w:r>
    </w:p>
    <w:p>
      <w:pPr>
        <w:ind w:firstLine="600" w:firstLineChars="250"/>
        <w:rPr>
          <w:rFonts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pPr>
        <w:ind w:firstLine="600" w:firstLineChars="250"/>
        <w:rPr>
          <w:rFonts w:ascii="宋体" w:hAnsi="宋体" w:cs="宋体"/>
          <w:kern w:val="0"/>
          <w:sz w:val="24"/>
          <w:szCs w:val="24"/>
        </w:rPr>
      </w:pPr>
      <w:r>
        <w:rPr>
          <w:rFonts w:hint="eastAsia" w:ascii="宋体" w:hAnsi="宋体" w:cs="宋体"/>
          <w:kern w:val="0"/>
          <w:sz w:val="24"/>
          <w:szCs w:val="24"/>
        </w:rPr>
        <w:t>（3）每项“评分因素”的得分=对应“评分准则”的分值×对应权重%。</w:t>
      </w:r>
    </w:p>
    <w:p>
      <w:pPr>
        <w:ind w:firstLine="600" w:firstLineChars="25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pPr>
        <w:ind w:firstLine="600" w:firstLineChars="250"/>
        <w:rPr>
          <w:rFonts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pPr>
        <w:ind w:firstLine="600" w:firstLineChars="250"/>
        <w:rPr>
          <w:rFonts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pPr>
        <w:ind w:firstLine="600" w:firstLineChars="250"/>
        <w:rPr>
          <w:rFonts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pPr>
        <w:ind w:firstLine="600" w:firstLineChars="250"/>
        <w:rPr>
          <w:rFonts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pPr>
        <w:spacing w:line="540" w:lineRule="exact"/>
        <w:ind w:firstLine="600" w:firstLineChars="250"/>
        <w:rPr>
          <w:rFonts w:ascii="宋体" w:hAnsi="宋体" w:cs="宋体"/>
          <w:kern w:val="0"/>
          <w:sz w:val="24"/>
          <w:szCs w:val="24"/>
        </w:rPr>
      </w:pPr>
    </w:p>
    <w:p>
      <w:pPr>
        <w:spacing w:line="540" w:lineRule="exact"/>
        <w:ind w:firstLine="600" w:firstLineChars="250"/>
        <w:rPr>
          <w:rFonts w:ascii="宋体" w:hAnsi="宋体" w:cs="宋体"/>
          <w:kern w:val="0"/>
          <w:sz w:val="24"/>
          <w:szCs w:val="24"/>
        </w:rPr>
      </w:pPr>
    </w:p>
    <w:p>
      <w:pPr>
        <w:spacing w:line="540" w:lineRule="exact"/>
        <w:ind w:firstLine="600" w:firstLineChars="250"/>
        <w:rPr>
          <w:rFonts w:ascii="宋体" w:hAnsi="宋体" w:cs="宋体"/>
          <w:kern w:val="0"/>
          <w:sz w:val="24"/>
          <w:szCs w:val="24"/>
        </w:rPr>
      </w:pPr>
      <w:bookmarkStart w:id="0" w:name="_GoBack"/>
      <w:bookmarkEnd w:id="0"/>
    </w:p>
    <w:p>
      <w:pPr>
        <w:spacing w:line="540" w:lineRule="exact"/>
        <w:ind w:firstLine="600" w:firstLineChars="250"/>
        <w:rPr>
          <w:rFonts w:ascii="宋体" w:hAnsi="宋体" w:cs="宋体"/>
          <w:kern w:val="0"/>
          <w:sz w:val="24"/>
          <w:szCs w:val="24"/>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附件：投标及履约承诺函</w:t>
      </w:r>
    </w:p>
    <w:p>
      <w:pPr>
        <w:widowControl/>
        <w:jc w:val="left"/>
        <w:rPr>
          <w:rFonts w:ascii="仿宋" w:hAnsi="仿宋" w:eastAsia="仿宋" w:cs="仿宋_GB2312"/>
          <w:sz w:val="32"/>
          <w:szCs w:val="32"/>
        </w:rPr>
      </w:pPr>
      <w:r>
        <w:rPr>
          <w:rFonts w:ascii="仿宋" w:hAnsi="仿宋" w:eastAsia="仿宋" w:cs="仿宋_GB2312"/>
          <w:sz w:val="32"/>
          <w:szCs w:val="32"/>
        </w:rPr>
        <w:br w:type="page"/>
      </w:r>
    </w:p>
    <w:p>
      <w:pPr>
        <w:adjustRightInd w:val="0"/>
        <w:snapToGrid w:val="0"/>
        <w:jc w:val="left"/>
        <w:rPr>
          <w:rFonts w:hint="eastAsia" w:ascii="黑体" w:hAnsi="黑体" w:eastAsia="黑体" w:cs="黑体"/>
          <w:sz w:val="32"/>
          <w:szCs w:val="32"/>
        </w:rPr>
      </w:pPr>
      <w:r>
        <w:rPr>
          <w:rFonts w:hint="eastAsia" w:ascii="黑体" w:hAnsi="黑体" w:eastAsia="黑体" w:cs="黑体"/>
          <w:spacing w:val="10"/>
          <w:kern w:val="0"/>
          <w:sz w:val="32"/>
          <w:szCs w:val="32"/>
          <w:lang w:val="zh-CN"/>
        </w:rPr>
        <w:t>附件</w:t>
      </w:r>
    </w:p>
    <w:p>
      <w:pPr>
        <w:adjustRightInd w:val="0"/>
        <w:snapToGrid w:val="0"/>
        <w:jc w:val="center"/>
        <w:rPr>
          <w:rFonts w:ascii="宋体" w:hAnsi="宋体" w:cs="宋体"/>
          <w:b/>
          <w:bCs/>
          <w:sz w:val="44"/>
          <w:szCs w:val="44"/>
        </w:rPr>
      </w:pPr>
    </w:p>
    <w:p>
      <w:pPr>
        <w:adjustRightInd w:val="0"/>
        <w:snapToGrid w:val="0"/>
        <w:jc w:val="center"/>
        <w:rPr>
          <w:rFonts w:ascii="宋体" w:hAnsi="宋体" w:cs="宋体"/>
          <w:b/>
          <w:bCs/>
          <w:sz w:val="44"/>
          <w:szCs w:val="44"/>
        </w:rPr>
      </w:pPr>
      <w:r>
        <w:rPr>
          <w:rFonts w:hint="eastAsia" w:ascii="宋体" w:hAnsi="宋体" w:cs="宋体"/>
          <w:b/>
          <w:bCs/>
          <w:sz w:val="44"/>
          <w:szCs w:val="44"/>
        </w:rPr>
        <w:t>投标及履约承诺函</w:t>
      </w:r>
    </w:p>
    <w:p>
      <w:pPr>
        <w:adjustRightInd w:val="0"/>
        <w:snapToGrid w:val="0"/>
        <w:jc w:val="center"/>
        <w:rPr>
          <w:rFonts w:ascii="宋体" w:hAnsi="宋体" w:cs="宋体"/>
          <w:b/>
          <w:bCs/>
          <w:sz w:val="44"/>
          <w:szCs w:val="44"/>
        </w:rPr>
      </w:pP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 xml:space="preserve">.我单位已认真阅读本项目需求，我单位承诺按时递交标书。 </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pPr>
        <w:adjustRightInd w:val="0"/>
        <w:snapToGrid w:val="0"/>
        <w:spacing w:line="480" w:lineRule="exact"/>
        <w:ind w:firstLine="640" w:firstLineChars="200"/>
        <w:rPr>
          <w:rFonts w:ascii="仿宋_GB2312" w:hAnsi="宋体" w:eastAsia="仿宋_GB2312"/>
          <w:sz w:val="32"/>
          <w:szCs w:val="22"/>
        </w:rPr>
      </w:pP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p>
    <w:p>
      <w:pPr>
        <w:adjustRightInd w:val="0"/>
        <w:snapToGrid w:val="0"/>
        <w:spacing w:line="480" w:lineRule="exact"/>
        <w:ind w:firstLine="640" w:firstLineChars="200"/>
        <w:rPr>
          <w:rFonts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auto"/>
    <w:pitch w:val="default"/>
    <w:sig w:usb0="00000000" w:usb1="00000000" w:usb2="00000010" w:usb3="00000000" w:csb0="00040000" w:csb1="00000000"/>
  </w:font>
  <w:font w:name="Arial (W1)">
    <w:altName w:val="DejaVu Sans"/>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roman"/>
    <w:pitch w:val="default"/>
    <w:sig w:usb0="00000000" w:usb1="00000000" w:usb2="00000000" w:usb3="00000000" w:csb0="00040001" w:csb1="00000000"/>
  </w:font>
  <w:font w:name="汉仪细等线简">
    <w:altName w:val="仿宋_GB2312"/>
    <w:panose1 w:val="00000000000000000000"/>
    <w:charset w:val="86"/>
    <w:family w:val="auto"/>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URW Bookman"/>
    <w:panose1 w:val="00000000000000000000"/>
    <w:charset w:val="00"/>
    <w:family w:val="auto"/>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Liberation Sans">
    <w:panose1 w:val="020B06040202020202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URW Bookman">
    <w:panose1 w:val="00000400000000000000"/>
    <w:charset w:val="00"/>
    <w:family w:val="auto"/>
    <w:pitch w:val="default"/>
    <w:sig w:usb0="00000287" w:usb1="00000800" w:usb2="00000000" w:usb3="00000000" w:csb0="6000009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bPpnlsYBAABwAwAADgAAAAAAAAAB&#10;ACAAAAA0AQAAZHJzL2Uyb0RvYy54bWxQSwUGAAAAAAYABgBZAQAAbAUAAAAA&#10;">
              <v:fill on="f" focussize="0,0"/>
              <v:stroke on="f"/>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true"/>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A"/>
    <w:rsid w:val="00000F65"/>
    <w:rsid w:val="00015BC4"/>
    <w:rsid w:val="00021F8A"/>
    <w:rsid w:val="00026571"/>
    <w:rsid w:val="0004775A"/>
    <w:rsid w:val="00057629"/>
    <w:rsid w:val="0007094F"/>
    <w:rsid w:val="00087B33"/>
    <w:rsid w:val="0009025E"/>
    <w:rsid w:val="000943CB"/>
    <w:rsid w:val="000A2ECD"/>
    <w:rsid w:val="000A460A"/>
    <w:rsid w:val="000B0355"/>
    <w:rsid w:val="000B0357"/>
    <w:rsid w:val="000C24E4"/>
    <w:rsid w:val="000C4C90"/>
    <w:rsid w:val="000C72A3"/>
    <w:rsid w:val="000E057C"/>
    <w:rsid w:val="000E7D03"/>
    <w:rsid w:val="000F7AD1"/>
    <w:rsid w:val="00102E73"/>
    <w:rsid w:val="00104E04"/>
    <w:rsid w:val="001124E6"/>
    <w:rsid w:val="00121A5C"/>
    <w:rsid w:val="001275A8"/>
    <w:rsid w:val="001278AD"/>
    <w:rsid w:val="00142DE7"/>
    <w:rsid w:val="0014446E"/>
    <w:rsid w:val="001544E0"/>
    <w:rsid w:val="00155FBC"/>
    <w:rsid w:val="0017605A"/>
    <w:rsid w:val="0017760C"/>
    <w:rsid w:val="00180298"/>
    <w:rsid w:val="0018063F"/>
    <w:rsid w:val="001816F2"/>
    <w:rsid w:val="00186C5C"/>
    <w:rsid w:val="00197FDE"/>
    <w:rsid w:val="001B20D4"/>
    <w:rsid w:val="001B35A8"/>
    <w:rsid w:val="001C71B0"/>
    <w:rsid w:val="001D3DDB"/>
    <w:rsid w:val="001E3A97"/>
    <w:rsid w:val="001E3DDA"/>
    <w:rsid w:val="001E510D"/>
    <w:rsid w:val="001F2F3C"/>
    <w:rsid w:val="001F3397"/>
    <w:rsid w:val="001F6A98"/>
    <w:rsid w:val="001F7840"/>
    <w:rsid w:val="002121C1"/>
    <w:rsid w:val="00212BC7"/>
    <w:rsid w:val="00214268"/>
    <w:rsid w:val="00226951"/>
    <w:rsid w:val="00236C21"/>
    <w:rsid w:val="00247CC0"/>
    <w:rsid w:val="00264F3F"/>
    <w:rsid w:val="00275B1E"/>
    <w:rsid w:val="0029255E"/>
    <w:rsid w:val="002A7420"/>
    <w:rsid w:val="002B2371"/>
    <w:rsid w:val="002B5A7D"/>
    <w:rsid w:val="002C23E7"/>
    <w:rsid w:val="002C410B"/>
    <w:rsid w:val="002C4111"/>
    <w:rsid w:val="002C75A1"/>
    <w:rsid w:val="002D3E7B"/>
    <w:rsid w:val="002E3180"/>
    <w:rsid w:val="002F0A38"/>
    <w:rsid w:val="002F2249"/>
    <w:rsid w:val="002F7D66"/>
    <w:rsid w:val="0030460A"/>
    <w:rsid w:val="00310166"/>
    <w:rsid w:val="003108AF"/>
    <w:rsid w:val="003109D9"/>
    <w:rsid w:val="00312DB9"/>
    <w:rsid w:val="003179F2"/>
    <w:rsid w:val="0032247C"/>
    <w:rsid w:val="00336A84"/>
    <w:rsid w:val="00342105"/>
    <w:rsid w:val="003443C6"/>
    <w:rsid w:val="00346AEE"/>
    <w:rsid w:val="00351547"/>
    <w:rsid w:val="00351C24"/>
    <w:rsid w:val="003614DA"/>
    <w:rsid w:val="00362DD6"/>
    <w:rsid w:val="003663D1"/>
    <w:rsid w:val="00386203"/>
    <w:rsid w:val="00387586"/>
    <w:rsid w:val="00397D57"/>
    <w:rsid w:val="003A5EBE"/>
    <w:rsid w:val="003A71FE"/>
    <w:rsid w:val="003B47C2"/>
    <w:rsid w:val="003C0F0F"/>
    <w:rsid w:val="003C550C"/>
    <w:rsid w:val="003C7DC7"/>
    <w:rsid w:val="003D0615"/>
    <w:rsid w:val="003D57C1"/>
    <w:rsid w:val="003E74A2"/>
    <w:rsid w:val="003E7BEF"/>
    <w:rsid w:val="003F7347"/>
    <w:rsid w:val="0040141D"/>
    <w:rsid w:val="00401F33"/>
    <w:rsid w:val="0040409B"/>
    <w:rsid w:val="0043443C"/>
    <w:rsid w:val="004346D9"/>
    <w:rsid w:val="0043764A"/>
    <w:rsid w:val="00450C05"/>
    <w:rsid w:val="00455A2D"/>
    <w:rsid w:val="004573A5"/>
    <w:rsid w:val="00461339"/>
    <w:rsid w:val="0046505B"/>
    <w:rsid w:val="004747A9"/>
    <w:rsid w:val="00482C77"/>
    <w:rsid w:val="00490843"/>
    <w:rsid w:val="00492143"/>
    <w:rsid w:val="004A018F"/>
    <w:rsid w:val="004A4844"/>
    <w:rsid w:val="004B3EFF"/>
    <w:rsid w:val="004B4044"/>
    <w:rsid w:val="004B72E2"/>
    <w:rsid w:val="004D140F"/>
    <w:rsid w:val="004D647F"/>
    <w:rsid w:val="004D69E2"/>
    <w:rsid w:val="004E6DC8"/>
    <w:rsid w:val="004F4EEB"/>
    <w:rsid w:val="00502316"/>
    <w:rsid w:val="00512272"/>
    <w:rsid w:val="00522B7F"/>
    <w:rsid w:val="005236DE"/>
    <w:rsid w:val="005250D0"/>
    <w:rsid w:val="0053239E"/>
    <w:rsid w:val="00533C56"/>
    <w:rsid w:val="00540773"/>
    <w:rsid w:val="00541A5D"/>
    <w:rsid w:val="00543EBC"/>
    <w:rsid w:val="00544137"/>
    <w:rsid w:val="00551C08"/>
    <w:rsid w:val="00551FCE"/>
    <w:rsid w:val="0055630F"/>
    <w:rsid w:val="00566FD7"/>
    <w:rsid w:val="00571748"/>
    <w:rsid w:val="005742E2"/>
    <w:rsid w:val="00574E9C"/>
    <w:rsid w:val="0057642D"/>
    <w:rsid w:val="005770EC"/>
    <w:rsid w:val="00581043"/>
    <w:rsid w:val="00591F8A"/>
    <w:rsid w:val="00592178"/>
    <w:rsid w:val="0059695D"/>
    <w:rsid w:val="005B045A"/>
    <w:rsid w:val="005B1504"/>
    <w:rsid w:val="005C1EA1"/>
    <w:rsid w:val="005D06B7"/>
    <w:rsid w:val="005D2DBD"/>
    <w:rsid w:val="005D5595"/>
    <w:rsid w:val="005F42B7"/>
    <w:rsid w:val="00614414"/>
    <w:rsid w:val="00625492"/>
    <w:rsid w:val="00626F53"/>
    <w:rsid w:val="00633239"/>
    <w:rsid w:val="00633C39"/>
    <w:rsid w:val="00642642"/>
    <w:rsid w:val="00667D11"/>
    <w:rsid w:val="00693E4E"/>
    <w:rsid w:val="006A2133"/>
    <w:rsid w:val="006C4AD8"/>
    <w:rsid w:val="006D34ED"/>
    <w:rsid w:val="006D43DB"/>
    <w:rsid w:val="006D7442"/>
    <w:rsid w:val="006E19C9"/>
    <w:rsid w:val="006E5EC1"/>
    <w:rsid w:val="006E64BB"/>
    <w:rsid w:val="006E6B64"/>
    <w:rsid w:val="00713126"/>
    <w:rsid w:val="00713D58"/>
    <w:rsid w:val="00737455"/>
    <w:rsid w:val="00741452"/>
    <w:rsid w:val="007414C6"/>
    <w:rsid w:val="00755554"/>
    <w:rsid w:val="00756219"/>
    <w:rsid w:val="00763343"/>
    <w:rsid w:val="00772977"/>
    <w:rsid w:val="00774EE4"/>
    <w:rsid w:val="00781E6C"/>
    <w:rsid w:val="0078257A"/>
    <w:rsid w:val="00785916"/>
    <w:rsid w:val="00792503"/>
    <w:rsid w:val="00796037"/>
    <w:rsid w:val="007A27DD"/>
    <w:rsid w:val="007A7B81"/>
    <w:rsid w:val="007B3AC8"/>
    <w:rsid w:val="007D0575"/>
    <w:rsid w:val="007D3A49"/>
    <w:rsid w:val="007D629B"/>
    <w:rsid w:val="007D7579"/>
    <w:rsid w:val="007E4380"/>
    <w:rsid w:val="007F12AF"/>
    <w:rsid w:val="00800F5B"/>
    <w:rsid w:val="00803DE1"/>
    <w:rsid w:val="008111D2"/>
    <w:rsid w:val="008166EE"/>
    <w:rsid w:val="008346B8"/>
    <w:rsid w:val="0084013A"/>
    <w:rsid w:val="00843442"/>
    <w:rsid w:val="00843C62"/>
    <w:rsid w:val="00856555"/>
    <w:rsid w:val="0087046C"/>
    <w:rsid w:val="00876D92"/>
    <w:rsid w:val="008836FE"/>
    <w:rsid w:val="00883B31"/>
    <w:rsid w:val="00884E21"/>
    <w:rsid w:val="008907C7"/>
    <w:rsid w:val="00893717"/>
    <w:rsid w:val="00897A19"/>
    <w:rsid w:val="008A79FD"/>
    <w:rsid w:val="008B084A"/>
    <w:rsid w:val="008B4CAF"/>
    <w:rsid w:val="008D2D34"/>
    <w:rsid w:val="008D783E"/>
    <w:rsid w:val="008F443C"/>
    <w:rsid w:val="009107D4"/>
    <w:rsid w:val="00912182"/>
    <w:rsid w:val="00913B55"/>
    <w:rsid w:val="00915D94"/>
    <w:rsid w:val="00920BB7"/>
    <w:rsid w:val="009245E2"/>
    <w:rsid w:val="009274B6"/>
    <w:rsid w:val="00933256"/>
    <w:rsid w:val="009351C9"/>
    <w:rsid w:val="00935C24"/>
    <w:rsid w:val="00937757"/>
    <w:rsid w:val="009417F2"/>
    <w:rsid w:val="0094689E"/>
    <w:rsid w:val="00951D76"/>
    <w:rsid w:val="009634AF"/>
    <w:rsid w:val="009719CF"/>
    <w:rsid w:val="00976494"/>
    <w:rsid w:val="00977802"/>
    <w:rsid w:val="009910FD"/>
    <w:rsid w:val="0099769F"/>
    <w:rsid w:val="009A0980"/>
    <w:rsid w:val="009A62DE"/>
    <w:rsid w:val="009B1BCF"/>
    <w:rsid w:val="009B37E4"/>
    <w:rsid w:val="009B4668"/>
    <w:rsid w:val="009C378C"/>
    <w:rsid w:val="009C556B"/>
    <w:rsid w:val="009D0E3F"/>
    <w:rsid w:val="009D520A"/>
    <w:rsid w:val="009E0008"/>
    <w:rsid w:val="009F6E16"/>
    <w:rsid w:val="00A002CE"/>
    <w:rsid w:val="00A03C2D"/>
    <w:rsid w:val="00A17EB4"/>
    <w:rsid w:val="00A305F8"/>
    <w:rsid w:val="00A31433"/>
    <w:rsid w:val="00A31463"/>
    <w:rsid w:val="00A44DD8"/>
    <w:rsid w:val="00A51B21"/>
    <w:rsid w:val="00A60F56"/>
    <w:rsid w:val="00A716A3"/>
    <w:rsid w:val="00A73054"/>
    <w:rsid w:val="00A76F81"/>
    <w:rsid w:val="00A9093A"/>
    <w:rsid w:val="00A94D28"/>
    <w:rsid w:val="00A97A05"/>
    <w:rsid w:val="00AA5CBE"/>
    <w:rsid w:val="00AA62E8"/>
    <w:rsid w:val="00AA6594"/>
    <w:rsid w:val="00AB432C"/>
    <w:rsid w:val="00AB5B09"/>
    <w:rsid w:val="00AC012B"/>
    <w:rsid w:val="00AC5C00"/>
    <w:rsid w:val="00AD11F7"/>
    <w:rsid w:val="00AD2C39"/>
    <w:rsid w:val="00AE74B1"/>
    <w:rsid w:val="00B01134"/>
    <w:rsid w:val="00B067EE"/>
    <w:rsid w:val="00B0798D"/>
    <w:rsid w:val="00B10467"/>
    <w:rsid w:val="00B25245"/>
    <w:rsid w:val="00B31182"/>
    <w:rsid w:val="00B35AF6"/>
    <w:rsid w:val="00B36FF2"/>
    <w:rsid w:val="00B56D2F"/>
    <w:rsid w:val="00B61338"/>
    <w:rsid w:val="00B61BFE"/>
    <w:rsid w:val="00B67D61"/>
    <w:rsid w:val="00B74AC0"/>
    <w:rsid w:val="00B7696A"/>
    <w:rsid w:val="00B82F55"/>
    <w:rsid w:val="00B86F7E"/>
    <w:rsid w:val="00B9388B"/>
    <w:rsid w:val="00BA050C"/>
    <w:rsid w:val="00BA3A8C"/>
    <w:rsid w:val="00BB4B80"/>
    <w:rsid w:val="00BB7155"/>
    <w:rsid w:val="00BC680A"/>
    <w:rsid w:val="00BC6A39"/>
    <w:rsid w:val="00C13C74"/>
    <w:rsid w:val="00C3092A"/>
    <w:rsid w:val="00C44FAE"/>
    <w:rsid w:val="00C5185F"/>
    <w:rsid w:val="00C52D4D"/>
    <w:rsid w:val="00C53BC7"/>
    <w:rsid w:val="00C54474"/>
    <w:rsid w:val="00C57C32"/>
    <w:rsid w:val="00C655DD"/>
    <w:rsid w:val="00C96D23"/>
    <w:rsid w:val="00CB02DC"/>
    <w:rsid w:val="00CB7CA8"/>
    <w:rsid w:val="00CD16CE"/>
    <w:rsid w:val="00CF6F23"/>
    <w:rsid w:val="00D12A2B"/>
    <w:rsid w:val="00D1589D"/>
    <w:rsid w:val="00D24698"/>
    <w:rsid w:val="00D25868"/>
    <w:rsid w:val="00D25C47"/>
    <w:rsid w:val="00D2660C"/>
    <w:rsid w:val="00D30E9B"/>
    <w:rsid w:val="00D316F6"/>
    <w:rsid w:val="00D45768"/>
    <w:rsid w:val="00D45F2D"/>
    <w:rsid w:val="00D55F1E"/>
    <w:rsid w:val="00D6072F"/>
    <w:rsid w:val="00D64D20"/>
    <w:rsid w:val="00D75ED0"/>
    <w:rsid w:val="00D76346"/>
    <w:rsid w:val="00D7776E"/>
    <w:rsid w:val="00D9607B"/>
    <w:rsid w:val="00D96346"/>
    <w:rsid w:val="00DA667C"/>
    <w:rsid w:val="00DB7BEE"/>
    <w:rsid w:val="00DC1D8B"/>
    <w:rsid w:val="00DD0471"/>
    <w:rsid w:val="00DD5C89"/>
    <w:rsid w:val="00DE41D0"/>
    <w:rsid w:val="00DE5F7D"/>
    <w:rsid w:val="00DF1F58"/>
    <w:rsid w:val="00E01A08"/>
    <w:rsid w:val="00E03217"/>
    <w:rsid w:val="00E055A3"/>
    <w:rsid w:val="00E05EDB"/>
    <w:rsid w:val="00E07E9C"/>
    <w:rsid w:val="00E11A28"/>
    <w:rsid w:val="00E20EC4"/>
    <w:rsid w:val="00E22750"/>
    <w:rsid w:val="00E250BB"/>
    <w:rsid w:val="00E30705"/>
    <w:rsid w:val="00E51826"/>
    <w:rsid w:val="00E5351E"/>
    <w:rsid w:val="00E65C2A"/>
    <w:rsid w:val="00E70DE8"/>
    <w:rsid w:val="00E764AB"/>
    <w:rsid w:val="00E820A7"/>
    <w:rsid w:val="00E83BC8"/>
    <w:rsid w:val="00E850EA"/>
    <w:rsid w:val="00E909BD"/>
    <w:rsid w:val="00E96829"/>
    <w:rsid w:val="00E97CC2"/>
    <w:rsid w:val="00EA349E"/>
    <w:rsid w:val="00EB2AB7"/>
    <w:rsid w:val="00EC337A"/>
    <w:rsid w:val="00EE0506"/>
    <w:rsid w:val="00EE2341"/>
    <w:rsid w:val="00EE23B4"/>
    <w:rsid w:val="00EE244A"/>
    <w:rsid w:val="00EE2D71"/>
    <w:rsid w:val="00F01E8C"/>
    <w:rsid w:val="00F02BFB"/>
    <w:rsid w:val="00F03D5C"/>
    <w:rsid w:val="00F07DB6"/>
    <w:rsid w:val="00F17CBD"/>
    <w:rsid w:val="00F20658"/>
    <w:rsid w:val="00F222DE"/>
    <w:rsid w:val="00F34F92"/>
    <w:rsid w:val="00F35096"/>
    <w:rsid w:val="00F51166"/>
    <w:rsid w:val="00F64707"/>
    <w:rsid w:val="00F82281"/>
    <w:rsid w:val="00FA2F56"/>
    <w:rsid w:val="00FA687C"/>
    <w:rsid w:val="00FA6B2D"/>
    <w:rsid w:val="00FB2C4D"/>
    <w:rsid w:val="00FB2E08"/>
    <w:rsid w:val="00FC012F"/>
    <w:rsid w:val="00FC043D"/>
    <w:rsid w:val="00FD3295"/>
    <w:rsid w:val="01FB42C6"/>
    <w:rsid w:val="02E52B28"/>
    <w:rsid w:val="03633F51"/>
    <w:rsid w:val="03D32EAA"/>
    <w:rsid w:val="0F1C3C95"/>
    <w:rsid w:val="103111E7"/>
    <w:rsid w:val="12F96422"/>
    <w:rsid w:val="154C74B7"/>
    <w:rsid w:val="164963A5"/>
    <w:rsid w:val="1AF0362E"/>
    <w:rsid w:val="1D6614F4"/>
    <w:rsid w:val="1D946D2A"/>
    <w:rsid w:val="227D1127"/>
    <w:rsid w:val="25ED7CFF"/>
    <w:rsid w:val="29012D81"/>
    <w:rsid w:val="2CE83633"/>
    <w:rsid w:val="2D560907"/>
    <w:rsid w:val="2E452FC9"/>
    <w:rsid w:val="2F2E417E"/>
    <w:rsid w:val="31EE4784"/>
    <w:rsid w:val="36587F7A"/>
    <w:rsid w:val="3B530682"/>
    <w:rsid w:val="3C6F180D"/>
    <w:rsid w:val="3CAA0266"/>
    <w:rsid w:val="3D206166"/>
    <w:rsid w:val="3DEF251D"/>
    <w:rsid w:val="402D6C07"/>
    <w:rsid w:val="40760AAC"/>
    <w:rsid w:val="46E7235B"/>
    <w:rsid w:val="48934F74"/>
    <w:rsid w:val="4C1676C1"/>
    <w:rsid w:val="4D02140B"/>
    <w:rsid w:val="4D4D1E47"/>
    <w:rsid w:val="571E4E32"/>
    <w:rsid w:val="5AFD6C6B"/>
    <w:rsid w:val="5F73AFB6"/>
    <w:rsid w:val="68AC4A92"/>
    <w:rsid w:val="6BF02543"/>
    <w:rsid w:val="6CB64147"/>
    <w:rsid w:val="71C22B21"/>
    <w:rsid w:val="729C4002"/>
    <w:rsid w:val="73271770"/>
    <w:rsid w:val="734C7658"/>
    <w:rsid w:val="744051D9"/>
    <w:rsid w:val="7562283E"/>
    <w:rsid w:val="76141AED"/>
    <w:rsid w:val="76B65054"/>
    <w:rsid w:val="771C49A5"/>
    <w:rsid w:val="79856CB1"/>
    <w:rsid w:val="7A5D7EB8"/>
    <w:rsid w:val="7CEB3072"/>
    <w:rsid w:val="7D4B7D80"/>
    <w:rsid w:val="7DDF7714"/>
    <w:rsid w:val="7FF76028"/>
    <w:rsid w:val="EEDE2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semiHidden/>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字符"/>
    <w:basedOn w:val="45"/>
    <w:link w:val="4"/>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字符"/>
    <w:basedOn w:val="45"/>
    <w:link w:val="28"/>
    <w:qFormat/>
    <w:uiPriority w:val="0"/>
    <w:rPr>
      <w:rFonts w:ascii="Calibri" w:hAnsi="Calibri" w:eastAsia="宋体" w:cs="Times New Roman"/>
      <w:sz w:val="18"/>
      <w:szCs w:val="18"/>
    </w:rPr>
  </w:style>
  <w:style w:type="character" w:customStyle="1" w:styleId="58">
    <w:name w:val="页脚 字符"/>
    <w:basedOn w:val="45"/>
    <w:link w:val="27"/>
    <w:qFormat/>
    <w:uiPriority w:val="0"/>
    <w:rPr>
      <w:rFonts w:ascii="Calibri" w:hAnsi="Calibri" w:eastAsia="宋体" w:cs="Times New Roman"/>
      <w:sz w:val="18"/>
      <w:szCs w:val="18"/>
    </w:rPr>
  </w:style>
  <w:style w:type="character" w:customStyle="1" w:styleId="59">
    <w:name w:val="标题 3 字符"/>
    <w:basedOn w:val="45"/>
    <w:link w:val="3"/>
    <w:qFormat/>
    <w:uiPriority w:val="0"/>
    <w:rPr>
      <w:rFonts w:ascii="Calibri" w:hAnsi="Calibri" w:eastAsia="宋体" w:cs="Times New Roman"/>
      <w:b/>
      <w:bCs/>
      <w:sz w:val="32"/>
      <w:szCs w:val="32"/>
    </w:rPr>
  </w:style>
  <w:style w:type="character" w:customStyle="1" w:styleId="60">
    <w:name w:val="标题 1 字符"/>
    <w:basedOn w:val="45"/>
    <w:link w:val="2"/>
    <w:qFormat/>
    <w:uiPriority w:val="0"/>
    <w:rPr>
      <w:rFonts w:ascii="宋体" w:hAnsi="宋体" w:eastAsia="黑体" w:cs="Times New Roman"/>
      <w:b/>
      <w:bCs/>
      <w:kern w:val="44"/>
      <w:sz w:val="28"/>
      <w:szCs w:val="44"/>
    </w:rPr>
  </w:style>
  <w:style w:type="character" w:customStyle="1" w:styleId="61">
    <w:name w:val="标题 4 字符"/>
    <w:basedOn w:val="45"/>
    <w:link w:val="5"/>
    <w:qFormat/>
    <w:uiPriority w:val="0"/>
    <w:rPr>
      <w:rFonts w:ascii="Arial" w:hAnsi="Arial" w:eastAsia="黑体" w:cs="Times New Roman"/>
      <w:b/>
      <w:bCs/>
      <w:sz w:val="28"/>
      <w:szCs w:val="28"/>
    </w:rPr>
  </w:style>
  <w:style w:type="character" w:customStyle="1" w:styleId="62">
    <w:name w:val="标题 5 字符"/>
    <w:basedOn w:val="45"/>
    <w:link w:val="6"/>
    <w:qFormat/>
    <w:uiPriority w:val="0"/>
    <w:rPr>
      <w:rFonts w:ascii="Times New Roman" w:hAnsi="Times New Roman" w:eastAsia="宋体" w:cs="Times New Roman"/>
      <w:b/>
      <w:sz w:val="28"/>
      <w:szCs w:val="20"/>
    </w:rPr>
  </w:style>
  <w:style w:type="character" w:customStyle="1" w:styleId="63">
    <w:name w:val="标题 6 字符"/>
    <w:basedOn w:val="45"/>
    <w:link w:val="8"/>
    <w:qFormat/>
    <w:uiPriority w:val="0"/>
    <w:rPr>
      <w:rFonts w:ascii="Arial" w:hAnsi="Arial" w:eastAsia="黑体" w:cs="Times New Roman"/>
      <w:b/>
      <w:sz w:val="24"/>
      <w:szCs w:val="20"/>
    </w:rPr>
  </w:style>
  <w:style w:type="character" w:customStyle="1" w:styleId="64">
    <w:name w:val="标题 7 字符"/>
    <w:basedOn w:val="45"/>
    <w:link w:val="9"/>
    <w:qFormat/>
    <w:uiPriority w:val="0"/>
    <w:rPr>
      <w:rFonts w:ascii="Times New Roman" w:hAnsi="Times New Roman" w:eastAsia="宋体" w:cs="Times New Roman"/>
      <w:b/>
      <w:sz w:val="24"/>
      <w:szCs w:val="20"/>
    </w:rPr>
  </w:style>
  <w:style w:type="character" w:customStyle="1" w:styleId="65">
    <w:name w:val="标题 8 字符"/>
    <w:basedOn w:val="45"/>
    <w:link w:val="10"/>
    <w:qFormat/>
    <w:uiPriority w:val="0"/>
    <w:rPr>
      <w:rFonts w:ascii="Arial" w:hAnsi="Arial" w:eastAsia="黑体" w:cs="Times New Roman"/>
      <w:sz w:val="24"/>
      <w:szCs w:val="20"/>
    </w:rPr>
  </w:style>
  <w:style w:type="character" w:customStyle="1" w:styleId="66">
    <w:name w:val="标题 9 字符"/>
    <w:basedOn w:val="45"/>
    <w:link w:val="11"/>
    <w:qFormat/>
    <w:uiPriority w:val="0"/>
    <w:rPr>
      <w:rFonts w:ascii="Arial" w:hAnsi="Arial" w:eastAsia="黑体" w:cs="Times New Roman"/>
      <w:szCs w:val="20"/>
    </w:rPr>
  </w:style>
  <w:style w:type="character" w:customStyle="1" w:styleId="67">
    <w:name w:val="批注文字 字符"/>
    <w:basedOn w:val="45"/>
    <w:link w:val="16"/>
    <w:semiHidden/>
    <w:qFormat/>
    <w:uiPriority w:val="0"/>
    <w:rPr>
      <w:rFonts w:ascii="Calibri" w:hAnsi="Calibri" w:eastAsia="宋体" w:cs="Times New Roman"/>
      <w:szCs w:val="21"/>
    </w:rPr>
  </w:style>
  <w:style w:type="character" w:customStyle="1" w:styleId="68">
    <w:name w:val="批注主题 字符"/>
    <w:basedOn w:val="67"/>
    <w:link w:val="41"/>
    <w:qFormat/>
    <w:uiPriority w:val="0"/>
    <w:rPr>
      <w:rFonts w:ascii="宋体" w:hAnsi="Times New Roman" w:eastAsia="宋体" w:cs="Times New Roman"/>
      <w:kern w:val="0"/>
      <w:sz w:val="34"/>
      <w:szCs w:val="20"/>
    </w:rPr>
  </w:style>
  <w:style w:type="character" w:customStyle="1" w:styleId="69">
    <w:name w:val="正文文本 字符"/>
    <w:basedOn w:val="45"/>
    <w:link w:val="18"/>
    <w:qFormat/>
    <w:uiPriority w:val="0"/>
    <w:rPr>
      <w:rFonts w:ascii="Calibri" w:hAnsi="Calibri" w:eastAsia="宋体" w:cs="Times New Roman"/>
      <w:szCs w:val="21"/>
    </w:rPr>
  </w:style>
  <w:style w:type="character" w:customStyle="1" w:styleId="70">
    <w:name w:val="正文首行缩进 字符"/>
    <w:basedOn w:val="69"/>
    <w:link w:val="42"/>
    <w:qFormat/>
    <w:uiPriority w:val="0"/>
    <w:rPr>
      <w:rFonts w:ascii="Times New Roman" w:hAnsi="Times New Roman" w:eastAsia="宋体" w:cs="Times New Roman"/>
      <w:b/>
      <w:bCs/>
      <w:szCs w:val="24"/>
    </w:rPr>
  </w:style>
  <w:style w:type="character" w:customStyle="1" w:styleId="71">
    <w:name w:val="文档结构图 字符"/>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字符"/>
    <w:basedOn w:val="45"/>
    <w:link w:val="17"/>
    <w:qFormat/>
    <w:uiPriority w:val="0"/>
    <w:rPr>
      <w:rFonts w:ascii="Times New Roman" w:hAnsi="Times New Roman" w:eastAsia="宋体" w:cs="Times New Roman"/>
      <w:sz w:val="16"/>
      <w:szCs w:val="16"/>
    </w:rPr>
  </w:style>
  <w:style w:type="character" w:customStyle="1" w:styleId="73">
    <w:name w:val="正文文本缩进 字符"/>
    <w:basedOn w:val="45"/>
    <w:link w:val="19"/>
    <w:qFormat/>
    <w:uiPriority w:val="0"/>
    <w:rPr>
      <w:rFonts w:ascii="Times New Roman" w:hAnsi="Times New Roman" w:eastAsia="宋体" w:cs="Times New Roman"/>
      <w:szCs w:val="24"/>
    </w:rPr>
  </w:style>
  <w:style w:type="character" w:customStyle="1" w:styleId="74">
    <w:name w:val="纯文本 字符"/>
    <w:basedOn w:val="45"/>
    <w:link w:val="22"/>
    <w:qFormat/>
    <w:uiPriority w:val="0"/>
    <w:rPr>
      <w:rFonts w:ascii="宋体" w:hAnsi="Courier New" w:eastAsia="宋体" w:cs="Times New Roman"/>
      <w:szCs w:val="20"/>
    </w:rPr>
  </w:style>
  <w:style w:type="character" w:customStyle="1" w:styleId="75">
    <w:name w:val="日期 字符"/>
    <w:basedOn w:val="45"/>
    <w:link w:val="24"/>
    <w:qFormat/>
    <w:uiPriority w:val="0"/>
    <w:rPr>
      <w:rFonts w:ascii="宋体" w:hAnsi="Courier New" w:eastAsia="宋体" w:cs="Times New Roman"/>
      <w:sz w:val="32"/>
      <w:szCs w:val="20"/>
    </w:rPr>
  </w:style>
  <w:style w:type="character" w:customStyle="1" w:styleId="76">
    <w:name w:val="正文文本缩进 2 字符"/>
    <w:basedOn w:val="45"/>
    <w:link w:val="25"/>
    <w:qFormat/>
    <w:uiPriority w:val="0"/>
    <w:rPr>
      <w:rFonts w:ascii="宋体" w:hAnsi="宋体" w:eastAsia="宋体" w:cs="Times New Roman"/>
      <w:szCs w:val="24"/>
    </w:rPr>
  </w:style>
  <w:style w:type="character" w:customStyle="1" w:styleId="77">
    <w:name w:val="批注框文本 字符"/>
    <w:basedOn w:val="45"/>
    <w:link w:val="26"/>
    <w:semiHidden/>
    <w:qFormat/>
    <w:uiPriority w:val="0"/>
    <w:rPr>
      <w:rFonts w:ascii="Times New Roman" w:hAnsi="Times New Roman" w:eastAsia="宋体" w:cs="Times New Roman"/>
      <w:sz w:val="18"/>
      <w:szCs w:val="18"/>
    </w:rPr>
  </w:style>
  <w:style w:type="character" w:customStyle="1" w:styleId="78">
    <w:name w:val="正文文本缩进 3 字符"/>
    <w:basedOn w:val="45"/>
    <w:link w:val="33"/>
    <w:qFormat/>
    <w:uiPriority w:val="0"/>
    <w:rPr>
      <w:rFonts w:ascii="宋体" w:hAnsi="Times New Roman" w:eastAsia="宋体" w:cs="Times New Roman"/>
      <w:b/>
      <w:bCs/>
      <w:sz w:val="24"/>
      <w:szCs w:val="24"/>
    </w:rPr>
  </w:style>
  <w:style w:type="character" w:customStyle="1" w:styleId="79">
    <w:name w:val="正文文本 2 字符"/>
    <w:basedOn w:val="45"/>
    <w:link w:val="36"/>
    <w:qFormat/>
    <w:uiPriority w:val="0"/>
    <w:rPr>
      <w:rFonts w:ascii="Times New Roman" w:hAnsi="Times New Roman" w:eastAsia="宋体" w:cs="Times New Roman"/>
      <w:sz w:val="24"/>
      <w:szCs w:val="24"/>
    </w:rPr>
  </w:style>
  <w:style w:type="character" w:customStyle="1" w:styleId="80">
    <w:name w:val="HTML 预设格式 字符"/>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字符"/>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34"/>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字符"/>
    <w:link w:val="7"/>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出段落 字符"/>
    <w:link w:val="56"/>
    <w:qFormat/>
    <w:uiPriority w:val="34"/>
    <w:rPr>
      <w:rFonts w:ascii="Calibri" w:hAnsi="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深圳市住房和建设局</Company>
  <Pages>8</Pages>
  <Words>616</Words>
  <Characters>3513</Characters>
  <Lines>29</Lines>
  <Paragraphs>8</Paragraphs>
  <TotalTime>2</TotalTime>
  <ScaleCrop>false</ScaleCrop>
  <LinksUpToDate>false</LinksUpToDate>
  <CharactersWithSpaces>4121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2021-12-15T08:31:00Z</dcterms:created>
  <dc:creator>李刚</dc:creator>
  <cp:lastModifiedBy>王敏</cp:lastModifiedBy>
  <cp:lastPrinted>2021-12-22T03:12:00Z</cp:lastPrinted>
  <dcterms:modified xsi:type="dcterms:W3CDTF">2021-12-22T17:07:06Z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