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tLeas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附件3</w:t>
      </w:r>
    </w:p>
    <w:p>
      <w:pPr>
        <w:pStyle w:val="5"/>
        <w:spacing w:before="0" w:beforeLines="0" w:after="160" w:line="0" w:lineRule="atLeast"/>
        <w:outlineLvl w:val="9"/>
        <w:rPr>
          <w:rFonts w:ascii="宋体"/>
          <w:b w:val="0"/>
          <w:sz w:val="36"/>
          <w:szCs w:val="36"/>
        </w:rPr>
      </w:pPr>
      <w:bookmarkStart w:id="0" w:name="_GoBack"/>
      <w:r>
        <w:rPr>
          <w:rFonts w:hint="eastAsia" w:ascii="宋体"/>
          <w:b w:val="0"/>
          <w:sz w:val="36"/>
          <w:szCs w:val="36"/>
        </w:rPr>
        <w:t>铁岗－石岩水库饮用水水源保护区范围</w:t>
      </w:r>
    </w:p>
    <w:bookmarkEnd w:id="0"/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715"/>
        <w:gridCol w:w="709"/>
        <w:gridCol w:w="763"/>
        <w:gridCol w:w="1013"/>
        <w:gridCol w:w="2863"/>
        <w:gridCol w:w="6180"/>
        <w:gridCol w:w="1234"/>
        <w:gridCol w:w="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25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52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250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保护区名称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水质保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护目标</w:t>
            </w:r>
          </w:p>
        </w:tc>
        <w:tc>
          <w:tcPr>
            <w:tcW w:w="357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保护区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级别</w:t>
            </w:r>
          </w:p>
        </w:tc>
        <w:tc>
          <w:tcPr>
            <w:tcW w:w="3622" w:type="pct"/>
            <w:gridSpan w:val="3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保护区范围</w:t>
            </w:r>
          </w:p>
        </w:tc>
        <w:tc>
          <w:tcPr>
            <w:tcW w:w="124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25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水域</w:t>
            </w:r>
          </w:p>
        </w:tc>
        <w:tc>
          <w:tcPr>
            <w:tcW w:w="2178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陆域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面积（</w:t>
            </w:r>
            <w:r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  <w:t>km</w:t>
            </w:r>
            <w:r>
              <w:rPr>
                <w:rFonts w:hint="eastAsia" w:ascii="黑体" w:hAnsi="宋体" w:eastAsia="黑体" w:cs="仿宋_GB2312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124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52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宝安区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光明区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南山区</w:t>
            </w:r>
          </w:p>
        </w:tc>
        <w:tc>
          <w:tcPr>
            <w:tcW w:w="250" w:type="pct"/>
            <w:vMerge w:val="restar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铁岗水库－石岩水库饮用水水源保护区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Ⅱ类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一级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铁岗水库（28.70</w:t>
            </w:r>
            <w:r>
              <w:rPr>
                <w:rFonts w:ascii="宋体" w:hAnsi="宋体" w:cs="仿宋_GB2312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）、石岩水库（36.00</w:t>
            </w:r>
            <w:r>
              <w:rPr>
                <w:rFonts w:ascii="宋体" w:hAnsi="宋体" w:cs="仿宋_GB2312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）正常蓄水位以下全部水面范围及铁岗－石岩连通渠水面范围，不含机荷高速、南光高速、洲石路段、深茂铁路。</w:t>
            </w:r>
          </w:p>
        </w:tc>
        <w:tc>
          <w:tcPr>
            <w:tcW w:w="2178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两库正常蓄水位线向陆域纵深200</w:t>
            </w:r>
            <w:r>
              <w:rPr>
                <w:rFonts w:ascii="宋体" w:hAnsi="宋体" w:cs="仿宋_GB2312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左右的集雨区范围，以及铁岗－石岩连通渠两侧纵深约50</w:t>
            </w:r>
            <w:r>
              <w:rPr>
                <w:rFonts w:ascii="宋体" w:hAnsi="宋体" w:cs="仿宋_GB2312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区域，但铁岗水库西北不超过（不含）西气东输求大线管线，南侧不超过（不含）宝石路的集雨区域陆域范围，不含机荷高速、南光高速、洲石路段、深茂铁路，不含滇西北工程石岩水库西侧的7个塔基及石岩水库东侧的7个塔基所在的0.1k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区域。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32.50</w:t>
            </w:r>
          </w:p>
        </w:tc>
        <w:tc>
          <w:tcPr>
            <w:tcW w:w="124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Ⅲ类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石岩河、九围河等入库支流自入库口上溯约2000</w:t>
            </w:r>
            <w:r>
              <w:rPr>
                <w:rFonts w:ascii="宋体" w:hAnsi="宋体" w:cs="仿宋_GB2312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的水面范围。</w:t>
            </w:r>
          </w:p>
        </w:tc>
        <w:tc>
          <w:tcPr>
            <w:tcW w:w="2178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正常蓄水位线向陆域纵深约2000m，除一级水源保护区以外的集雨区陆域范围，包括滇西北工程石岩水库西侧的7个塔基及石岩水库东侧的7个塔基所在的0.1km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区域。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38.71</w:t>
            </w:r>
          </w:p>
        </w:tc>
        <w:tc>
          <w:tcPr>
            <w:tcW w:w="124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准保护区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2178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除一级、二级水源保护区外的集雨区陆域范围。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36.78</w:t>
            </w:r>
          </w:p>
        </w:tc>
        <w:tc>
          <w:tcPr>
            <w:tcW w:w="124" w:type="pct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5065"/>
    <w:rsid w:val="47E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标题"/>
    <w:basedOn w:val="1"/>
    <w:qFormat/>
    <w:uiPriority w:val="0"/>
    <w:pPr>
      <w:spacing w:before="163" w:beforeLines="50" w:after="163" w:afterLines="50"/>
      <w:jc w:val="center"/>
      <w:outlineLvl w:val="0"/>
    </w:pPr>
    <w:rPr>
      <w:rFonts w:ascii="Times New Roman" w:hAnsi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2021-12-14T03:41:00Z</dcterms:created>
  <dc:creator>微凉</dc:creator>
  <cp:lastModifiedBy>微凉</cp:lastModifiedBy>
  <dcterms:modified xsi:type="dcterms:W3CDTF">2021-12-14T03:41:39Z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5B44619ADC6040AA98538043065988F3</vt:lpwstr>
  </property>
</Properties>
</file>