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96" w:lineRule="atLeast"/>
        <w:rPr>
          <w:rFonts w:ascii="宋体" w:hAnsi="宋体" w:cs="黑体"/>
          <w:sz w:val="24"/>
          <w:szCs w:val="24"/>
        </w:rPr>
      </w:pPr>
      <w:r>
        <w:rPr>
          <w:rFonts w:hint="eastAsia" w:ascii="宋体" w:hAnsi="宋体" w:cs="黑体"/>
          <w:sz w:val="24"/>
          <w:szCs w:val="24"/>
        </w:rPr>
        <w:t>附件2</w:t>
      </w:r>
    </w:p>
    <w:p>
      <w:pPr>
        <w:pStyle w:val="5"/>
        <w:spacing w:before="0" w:beforeLines="0" w:after="160" w:line="0" w:lineRule="atLeast"/>
        <w:outlineLvl w:val="9"/>
        <w:rPr>
          <w:rFonts w:ascii="宋体"/>
          <w:b w:val="0"/>
          <w:sz w:val="36"/>
          <w:szCs w:val="36"/>
        </w:rPr>
      </w:pPr>
      <w:bookmarkStart w:id="0" w:name="_GoBack"/>
      <w:r>
        <w:rPr>
          <w:rFonts w:hint="eastAsia" w:ascii="宋体"/>
          <w:b w:val="0"/>
          <w:sz w:val="36"/>
          <w:szCs w:val="36"/>
        </w:rPr>
        <w:t>长岭皮水库饮用水水源保护区范围</w:t>
      </w:r>
    </w:p>
    <w:bookmarkEnd w:id="0"/>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
        <w:gridCol w:w="669"/>
        <w:gridCol w:w="697"/>
        <w:gridCol w:w="944"/>
        <w:gridCol w:w="697"/>
        <w:gridCol w:w="1329"/>
        <w:gridCol w:w="1893"/>
        <w:gridCol w:w="762"/>
        <w:gridCol w:w="1527"/>
        <w:gridCol w:w="3817"/>
        <w:gridCol w:w="762"/>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132" w:type="pct"/>
            <w:vMerge w:val="restart"/>
            <w:noWrap w:val="0"/>
            <w:vAlign w:val="center"/>
          </w:tcPr>
          <w:p>
            <w:pPr>
              <w:spacing w:line="250" w:lineRule="exact"/>
              <w:ind w:left="-63" w:leftChars="-30" w:right="-63" w:rightChars="-30"/>
              <w:jc w:val="center"/>
              <w:rPr>
                <w:rFonts w:hint="eastAsia" w:ascii="黑体" w:hAnsi="宋体" w:eastAsia="黑体" w:cs="黑体"/>
                <w:kern w:val="0"/>
                <w:sz w:val="18"/>
                <w:szCs w:val="18"/>
              </w:rPr>
            </w:pPr>
            <w:r>
              <w:rPr>
                <w:rFonts w:hint="eastAsia" w:ascii="黑体" w:hAnsi="宋体" w:eastAsia="黑体" w:cs="黑体"/>
                <w:kern w:val="0"/>
                <w:sz w:val="18"/>
                <w:szCs w:val="18"/>
              </w:rPr>
              <w:t>序号</w:t>
            </w:r>
          </w:p>
        </w:tc>
        <w:tc>
          <w:tcPr>
            <w:tcW w:w="236" w:type="pct"/>
            <w:vMerge w:val="restart"/>
            <w:noWrap w:val="0"/>
            <w:vAlign w:val="center"/>
          </w:tcPr>
          <w:p>
            <w:pPr>
              <w:spacing w:line="250" w:lineRule="exact"/>
              <w:ind w:left="-63" w:leftChars="-30" w:right="-63" w:rightChars="-30"/>
              <w:jc w:val="center"/>
              <w:rPr>
                <w:rFonts w:hint="eastAsia" w:ascii="黑体" w:hAnsi="宋体" w:eastAsia="黑体" w:cs="黑体"/>
                <w:kern w:val="0"/>
                <w:sz w:val="18"/>
                <w:szCs w:val="18"/>
              </w:rPr>
            </w:pPr>
            <w:r>
              <w:rPr>
                <w:rFonts w:hint="eastAsia" w:ascii="黑体" w:hAnsi="宋体" w:eastAsia="黑体" w:cs="黑体"/>
                <w:kern w:val="0"/>
                <w:sz w:val="18"/>
                <w:szCs w:val="18"/>
              </w:rPr>
              <w:t>行政区</w:t>
            </w:r>
          </w:p>
        </w:tc>
        <w:tc>
          <w:tcPr>
            <w:tcW w:w="246" w:type="pct"/>
            <w:vMerge w:val="restart"/>
            <w:noWrap w:val="0"/>
            <w:vAlign w:val="center"/>
          </w:tcPr>
          <w:p>
            <w:pPr>
              <w:spacing w:line="250" w:lineRule="exact"/>
              <w:ind w:left="-63" w:leftChars="-30" w:right="-63" w:rightChars="-30"/>
              <w:jc w:val="center"/>
              <w:rPr>
                <w:rFonts w:hint="eastAsia" w:ascii="黑体" w:hAnsi="宋体" w:eastAsia="黑体" w:cs="黑体"/>
                <w:kern w:val="0"/>
                <w:sz w:val="18"/>
                <w:szCs w:val="18"/>
              </w:rPr>
            </w:pPr>
            <w:r>
              <w:rPr>
                <w:rFonts w:hint="eastAsia" w:ascii="黑体" w:hAnsi="宋体" w:eastAsia="黑体" w:cs="黑体"/>
                <w:kern w:val="0"/>
                <w:sz w:val="18"/>
                <w:szCs w:val="18"/>
              </w:rPr>
              <w:t>保护区</w:t>
            </w:r>
          </w:p>
          <w:p>
            <w:pPr>
              <w:spacing w:line="250" w:lineRule="exact"/>
              <w:ind w:left="-63" w:leftChars="-30" w:right="-63" w:rightChars="-30"/>
              <w:jc w:val="center"/>
              <w:rPr>
                <w:rFonts w:hint="eastAsia" w:ascii="黑体" w:hAnsi="宋体" w:eastAsia="黑体" w:cs="黑体"/>
                <w:kern w:val="0"/>
                <w:sz w:val="18"/>
                <w:szCs w:val="18"/>
              </w:rPr>
            </w:pPr>
            <w:r>
              <w:rPr>
                <w:rFonts w:hint="eastAsia" w:ascii="黑体" w:hAnsi="宋体" w:eastAsia="黑体" w:cs="黑体"/>
                <w:kern w:val="0"/>
                <w:sz w:val="18"/>
                <w:szCs w:val="18"/>
              </w:rPr>
              <w:t>名称</w:t>
            </w:r>
          </w:p>
        </w:tc>
        <w:tc>
          <w:tcPr>
            <w:tcW w:w="333" w:type="pct"/>
            <w:vMerge w:val="restart"/>
            <w:noWrap w:val="0"/>
            <w:vAlign w:val="center"/>
          </w:tcPr>
          <w:p>
            <w:pPr>
              <w:spacing w:line="250" w:lineRule="exact"/>
              <w:ind w:left="-63" w:leftChars="-30" w:right="-63" w:rightChars="-30"/>
              <w:jc w:val="center"/>
              <w:rPr>
                <w:rFonts w:hint="eastAsia" w:ascii="黑体" w:hAnsi="宋体" w:eastAsia="黑体" w:cs="黑体"/>
                <w:kern w:val="0"/>
                <w:sz w:val="18"/>
                <w:szCs w:val="18"/>
              </w:rPr>
            </w:pPr>
            <w:r>
              <w:rPr>
                <w:rFonts w:hint="eastAsia" w:ascii="黑体" w:hAnsi="宋体" w:eastAsia="黑体" w:cs="黑体"/>
                <w:kern w:val="0"/>
                <w:sz w:val="18"/>
                <w:szCs w:val="18"/>
              </w:rPr>
              <w:t>水质保护目标</w:t>
            </w:r>
          </w:p>
        </w:tc>
        <w:tc>
          <w:tcPr>
            <w:tcW w:w="246" w:type="pct"/>
            <w:vMerge w:val="restart"/>
            <w:noWrap w:val="0"/>
            <w:vAlign w:val="center"/>
          </w:tcPr>
          <w:p>
            <w:pPr>
              <w:spacing w:line="250" w:lineRule="exact"/>
              <w:ind w:left="-63" w:leftChars="-30" w:right="-63" w:rightChars="-30"/>
              <w:jc w:val="center"/>
              <w:rPr>
                <w:rFonts w:hint="eastAsia" w:ascii="黑体" w:hAnsi="宋体" w:eastAsia="黑体" w:cs="黑体"/>
                <w:kern w:val="0"/>
                <w:sz w:val="18"/>
                <w:szCs w:val="18"/>
              </w:rPr>
            </w:pPr>
            <w:r>
              <w:rPr>
                <w:rFonts w:hint="eastAsia" w:ascii="黑体" w:hAnsi="宋体" w:eastAsia="黑体" w:cs="黑体"/>
                <w:kern w:val="0"/>
                <w:sz w:val="18"/>
                <w:szCs w:val="18"/>
              </w:rPr>
              <w:t>保护区</w:t>
            </w:r>
          </w:p>
          <w:p>
            <w:pPr>
              <w:spacing w:line="250" w:lineRule="exact"/>
              <w:ind w:left="-63" w:leftChars="-30" w:right="-63" w:rightChars="-30"/>
              <w:jc w:val="center"/>
              <w:rPr>
                <w:rFonts w:hint="eastAsia" w:ascii="黑体" w:hAnsi="宋体" w:eastAsia="黑体" w:cs="黑体"/>
                <w:kern w:val="0"/>
                <w:sz w:val="18"/>
                <w:szCs w:val="18"/>
              </w:rPr>
            </w:pPr>
            <w:r>
              <w:rPr>
                <w:rFonts w:hint="eastAsia" w:ascii="黑体" w:hAnsi="宋体" w:eastAsia="黑体" w:cs="黑体"/>
                <w:kern w:val="0"/>
                <w:sz w:val="18"/>
                <w:szCs w:val="18"/>
              </w:rPr>
              <w:t>级别</w:t>
            </w:r>
          </w:p>
        </w:tc>
        <w:tc>
          <w:tcPr>
            <w:tcW w:w="1406" w:type="pct"/>
            <w:gridSpan w:val="3"/>
            <w:noWrap w:val="0"/>
            <w:vAlign w:val="center"/>
          </w:tcPr>
          <w:p>
            <w:pPr>
              <w:spacing w:line="250" w:lineRule="exact"/>
              <w:ind w:left="-63" w:leftChars="-30" w:right="-63" w:rightChars="-30"/>
              <w:jc w:val="center"/>
              <w:rPr>
                <w:rFonts w:hint="eastAsia" w:ascii="黑体" w:hAnsi="宋体" w:eastAsia="黑体" w:cs="黑体"/>
                <w:kern w:val="0"/>
                <w:sz w:val="18"/>
                <w:szCs w:val="18"/>
              </w:rPr>
            </w:pPr>
            <w:r>
              <w:rPr>
                <w:rFonts w:hint="eastAsia" w:ascii="黑体" w:hAnsi="宋体" w:eastAsia="黑体" w:cs="黑体"/>
                <w:kern w:val="0"/>
                <w:sz w:val="18"/>
                <w:szCs w:val="18"/>
              </w:rPr>
              <w:t>调整前保护区范围</w:t>
            </w:r>
          </w:p>
        </w:tc>
        <w:tc>
          <w:tcPr>
            <w:tcW w:w="2155" w:type="pct"/>
            <w:gridSpan w:val="3"/>
            <w:noWrap w:val="0"/>
            <w:vAlign w:val="center"/>
          </w:tcPr>
          <w:p>
            <w:pPr>
              <w:spacing w:line="250" w:lineRule="exact"/>
              <w:ind w:left="-63" w:leftChars="-30" w:right="-63" w:rightChars="-30"/>
              <w:jc w:val="center"/>
              <w:rPr>
                <w:rFonts w:hint="eastAsia" w:ascii="黑体" w:hAnsi="宋体" w:eastAsia="黑体" w:cs="黑体"/>
                <w:kern w:val="0"/>
                <w:sz w:val="18"/>
                <w:szCs w:val="18"/>
              </w:rPr>
            </w:pPr>
            <w:r>
              <w:rPr>
                <w:rFonts w:hint="eastAsia" w:ascii="黑体" w:hAnsi="宋体" w:eastAsia="黑体" w:cs="黑体"/>
                <w:kern w:val="0"/>
                <w:sz w:val="18"/>
                <w:szCs w:val="18"/>
              </w:rPr>
              <w:t>调整后保护区范围</w:t>
            </w:r>
          </w:p>
        </w:tc>
        <w:tc>
          <w:tcPr>
            <w:tcW w:w="246" w:type="pct"/>
            <w:vMerge w:val="restart"/>
            <w:noWrap w:val="0"/>
            <w:vAlign w:val="center"/>
          </w:tcPr>
          <w:p>
            <w:pPr>
              <w:spacing w:line="250" w:lineRule="exact"/>
              <w:ind w:left="-63" w:leftChars="-30" w:right="-63" w:rightChars="-30"/>
              <w:jc w:val="center"/>
              <w:rPr>
                <w:rFonts w:hint="eastAsia" w:ascii="黑体" w:hAnsi="宋体" w:eastAsia="黑体" w:cs="黑体"/>
                <w:kern w:val="0"/>
                <w:sz w:val="18"/>
                <w:szCs w:val="18"/>
              </w:rPr>
            </w:pPr>
            <w:r>
              <w:rPr>
                <w:rFonts w:hint="eastAsia" w:ascii="黑体" w:hAnsi="宋体" w:eastAsia="黑体" w:cs="黑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132" w:type="pct"/>
            <w:vMerge w:val="continue"/>
            <w:noWrap w:val="0"/>
            <w:vAlign w:val="center"/>
          </w:tcPr>
          <w:p>
            <w:pPr>
              <w:spacing w:line="250" w:lineRule="exact"/>
              <w:ind w:left="-63" w:leftChars="-30" w:right="-63" w:rightChars="-30"/>
              <w:jc w:val="center"/>
              <w:rPr>
                <w:rFonts w:hint="eastAsia" w:ascii="黑体" w:hAnsi="宋体" w:eastAsia="黑体" w:cs="仿宋_GB2312"/>
                <w:kern w:val="0"/>
                <w:sz w:val="18"/>
                <w:szCs w:val="18"/>
              </w:rPr>
            </w:pPr>
          </w:p>
        </w:tc>
        <w:tc>
          <w:tcPr>
            <w:tcW w:w="236" w:type="pct"/>
            <w:vMerge w:val="continue"/>
            <w:noWrap w:val="0"/>
            <w:vAlign w:val="center"/>
          </w:tcPr>
          <w:p>
            <w:pPr>
              <w:spacing w:line="250" w:lineRule="exact"/>
              <w:ind w:left="-63" w:leftChars="-30" w:right="-63" w:rightChars="-30"/>
              <w:jc w:val="center"/>
              <w:rPr>
                <w:rFonts w:hint="eastAsia" w:ascii="黑体" w:hAnsi="宋体" w:eastAsia="黑体" w:cs="仿宋_GB2312"/>
                <w:kern w:val="0"/>
                <w:sz w:val="18"/>
                <w:szCs w:val="18"/>
              </w:rPr>
            </w:pPr>
          </w:p>
        </w:tc>
        <w:tc>
          <w:tcPr>
            <w:tcW w:w="246" w:type="pct"/>
            <w:vMerge w:val="continue"/>
            <w:noWrap w:val="0"/>
            <w:vAlign w:val="center"/>
          </w:tcPr>
          <w:p>
            <w:pPr>
              <w:spacing w:line="250" w:lineRule="exact"/>
              <w:ind w:left="-63" w:leftChars="-30" w:right="-63" w:rightChars="-30"/>
              <w:jc w:val="center"/>
              <w:rPr>
                <w:rFonts w:hint="eastAsia" w:ascii="黑体" w:hAnsi="宋体" w:eastAsia="黑体" w:cs="仿宋_GB2312"/>
                <w:kern w:val="0"/>
                <w:sz w:val="18"/>
                <w:szCs w:val="18"/>
              </w:rPr>
            </w:pPr>
          </w:p>
        </w:tc>
        <w:tc>
          <w:tcPr>
            <w:tcW w:w="333" w:type="pct"/>
            <w:vMerge w:val="continue"/>
            <w:noWrap w:val="0"/>
            <w:vAlign w:val="center"/>
          </w:tcPr>
          <w:p>
            <w:pPr>
              <w:spacing w:line="250" w:lineRule="exact"/>
              <w:ind w:left="-63" w:leftChars="-30" w:right="-63" w:rightChars="-30"/>
              <w:jc w:val="center"/>
              <w:rPr>
                <w:rFonts w:hint="eastAsia" w:ascii="黑体" w:hAnsi="宋体" w:eastAsia="黑体" w:cs="仿宋_GB2312"/>
                <w:kern w:val="0"/>
                <w:sz w:val="18"/>
                <w:szCs w:val="18"/>
              </w:rPr>
            </w:pPr>
          </w:p>
        </w:tc>
        <w:tc>
          <w:tcPr>
            <w:tcW w:w="246" w:type="pct"/>
            <w:vMerge w:val="continue"/>
            <w:noWrap w:val="0"/>
            <w:vAlign w:val="center"/>
          </w:tcPr>
          <w:p>
            <w:pPr>
              <w:spacing w:line="250" w:lineRule="exact"/>
              <w:ind w:left="-63" w:leftChars="-30" w:right="-63" w:rightChars="-30"/>
              <w:jc w:val="center"/>
              <w:rPr>
                <w:rFonts w:hint="eastAsia" w:ascii="黑体" w:hAnsi="宋体" w:eastAsia="黑体" w:cs="仿宋_GB2312"/>
                <w:kern w:val="0"/>
                <w:sz w:val="18"/>
                <w:szCs w:val="18"/>
              </w:rPr>
            </w:pPr>
          </w:p>
        </w:tc>
        <w:tc>
          <w:tcPr>
            <w:tcW w:w="469" w:type="pct"/>
            <w:noWrap w:val="0"/>
            <w:vAlign w:val="center"/>
          </w:tcPr>
          <w:p>
            <w:pPr>
              <w:spacing w:line="250" w:lineRule="exact"/>
              <w:ind w:left="-63" w:leftChars="-30" w:right="-63" w:rightChars="-30"/>
              <w:jc w:val="center"/>
              <w:rPr>
                <w:rFonts w:hint="eastAsia" w:ascii="黑体" w:hAnsi="宋体" w:eastAsia="黑体" w:cs="黑体"/>
                <w:kern w:val="0"/>
                <w:sz w:val="18"/>
                <w:szCs w:val="18"/>
              </w:rPr>
            </w:pPr>
            <w:r>
              <w:rPr>
                <w:rFonts w:hint="eastAsia" w:ascii="黑体" w:hAnsi="宋体" w:eastAsia="黑体" w:cs="黑体"/>
                <w:kern w:val="0"/>
                <w:sz w:val="18"/>
                <w:szCs w:val="18"/>
              </w:rPr>
              <w:t>水域</w:t>
            </w:r>
          </w:p>
        </w:tc>
        <w:tc>
          <w:tcPr>
            <w:tcW w:w="668" w:type="pct"/>
            <w:noWrap w:val="0"/>
            <w:vAlign w:val="center"/>
          </w:tcPr>
          <w:p>
            <w:pPr>
              <w:spacing w:line="250" w:lineRule="exact"/>
              <w:ind w:left="-63" w:leftChars="-30" w:right="-63" w:rightChars="-30"/>
              <w:jc w:val="center"/>
              <w:rPr>
                <w:rFonts w:hint="eastAsia" w:ascii="黑体" w:hAnsi="宋体" w:eastAsia="黑体" w:cs="黑体"/>
                <w:kern w:val="0"/>
                <w:sz w:val="18"/>
                <w:szCs w:val="18"/>
              </w:rPr>
            </w:pPr>
            <w:r>
              <w:rPr>
                <w:rFonts w:hint="eastAsia" w:ascii="黑体" w:hAnsi="宋体" w:eastAsia="黑体" w:cs="黑体"/>
                <w:kern w:val="0"/>
                <w:sz w:val="18"/>
                <w:szCs w:val="18"/>
              </w:rPr>
              <w:t>陆域</w:t>
            </w:r>
          </w:p>
        </w:tc>
        <w:tc>
          <w:tcPr>
            <w:tcW w:w="269" w:type="pct"/>
            <w:noWrap w:val="0"/>
            <w:vAlign w:val="center"/>
          </w:tcPr>
          <w:p>
            <w:pPr>
              <w:spacing w:line="250" w:lineRule="exact"/>
              <w:ind w:left="-63" w:leftChars="-30" w:right="-63" w:rightChars="-30"/>
              <w:jc w:val="center"/>
              <w:rPr>
                <w:rFonts w:hint="eastAsia" w:ascii="黑体" w:hAnsi="宋体" w:eastAsia="黑体" w:cs="黑体"/>
                <w:kern w:val="0"/>
                <w:sz w:val="18"/>
                <w:szCs w:val="18"/>
              </w:rPr>
            </w:pPr>
            <w:r>
              <w:rPr>
                <w:rFonts w:hint="eastAsia" w:ascii="黑体" w:hAnsi="宋体" w:eastAsia="黑体" w:cs="黑体"/>
                <w:kern w:val="0"/>
                <w:sz w:val="18"/>
                <w:szCs w:val="18"/>
              </w:rPr>
              <w:t>面积</w:t>
            </w:r>
          </w:p>
          <w:p>
            <w:pPr>
              <w:spacing w:line="250" w:lineRule="exact"/>
              <w:ind w:left="-63" w:leftChars="-30" w:right="-63" w:rightChars="-30"/>
              <w:jc w:val="center"/>
              <w:rPr>
                <w:rFonts w:hint="eastAsia" w:ascii="黑体" w:hAnsi="宋体" w:eastAsia="黑体" w:cs="黑体"/>
                <w:kern w:val="0"/>
                <w:sz w:val="18"/>
                <w:szCs w:val="18"/>
              </w:rPr>
            </w:pPr>
            <w:r>
              <w:rPr>
                <w:rFonts w:hint="eastAsia" w:ascii="黑体" w:hAnsi="宋体" w:eastAsia="黑体" w:cs="黑体"/>
                <w:kern w:val="0"/>
                <w:sz w:val="18"/>
                <w:szCs w:val="18"/>
              </w:rPr>
              <w:t>（</w:t>
            </w:r>
            <w:r>
              <w:rPr>
                <w:rFonts w:hint="eastAsia" w:ascii="黑体" w:hAnsi="宋体" w:eastAsia="黑体" w:cs="仿宋_GB2312"/>
                <w:kern w:val="0"/>
                <w:sz w:val="18"/>
                <w:szCs w:val="18"/>
              </w:rPr>
              <w:t>km</w:t>
            </w:r>
            <w:r>
              <w:rPr>
                <w:rFonts w:hint="eastAsia" w:ascii="黑体" w:hAnsi="宋体" w:eastAsia="黑体" w:cs="仿宋_GB2312"/>
                <w:kern w:val="0"/>
                <w:sz w:val="18"/>
                <w:szCs w:val="18"/>
                <w:vertAlign w:val="superscript"/>
              </w:rPr>
              <w:t>2</w:t>
            </w:r>
            <w:r>
              <w:rPr>
                <w:rFonts w:hint="eastAsia" w:ascii="黑体" w:hAnsi="宋体" w:eastAsia="黑体" w:cs="黑体"/>
                <w:kern w:val="0"/>
                <w:sz w:val="18"/>
                <w:szCs w:val="18"/>
              </w:rPr>
              <w:t>）</w:t>
            </w:r>
          </w:p>
        </w:tc>
        <w:tc>
          <w:tcPr>
            <w:tcW w:w="539" w:type="pct"/>
            <w:noWrap w:val="0"/>
            <w:vAlign w:val="center"/>
          </w:tcPr>
          <w:p>
            <w:pPr>
              <w:spacing w:line="250" w:lineRule="exact"/>
              <w:ind w:left="-63" w:leftChars="-30" w:right="-63" w:rightChars="-30"/>
              <w:jc w:val="center"/>
              <w:rPr>
                <w:rFonts w:hint="eastAsia" w:ascii="黑体" w:hAnsi="宋体" w:eastAsia="黑体" w:cs="黑体"/>
                <w:kern w:val="0"/>
                <w:sz w:val="18"/>
                <w:szCs w:val="18"/>
              </w:rPr>
            </w:pPr>
            <w:r>
              <w:rPr>
                <w:rFonts w:hint="eastAsia" w:ascii="黑体" w:hAnsi="宋体" w:eastAsia="黑体" w:cs="黑体"/>
                <w:kern w:val="0"/>
                <w:sz w:val="18"/>
                <w:szCs w:val="18"/>
              </w:rPr>
              <w:t>水域</w:t>
            </w:r>
          </w:p>
        </w:tc>
        <w:tc>
          <w:tcPr>
            <w:tcW w:w="1347" w:type="pct"/>
            <w:noWrap w:val="0"/>
            <w:vAlign w:val="center"/>
          </w:tcPr>
          <w:p>
            <w:pPr>
              <w:spacing w:line="250" w:lineRule="exact"/>
              <w:ind w:left="-63" w:leftChars="-30" w:right="-63" w:rightChars="-30"/>
              <w:jc w:val="center"/>
              <w:rPr>
                <w:rFonts w:hint="eastAsia" w:ascii="黑体" w:hAnsi="宋体" w:eastAsia="黑体" w:cs="黑体"/>
                <w:kern w:val="0"/>
                <w:sz w:val="18"/>
                <w:szCs w:val="18"/>
              </w:rPr>
            </w:pPr>
            <w:r>
              <w:rPr>
                <w:rFonts w:hint="eastAsia" w:ascii="黑体" w:hAnsi="宋体" w:eastAsia="黑体" w:cs="黑体"/>
                <w:kern w:val="0"/>
                <w:sz w:val="18"/>
                <w:szCs w:val="18"/>
              </w:rPr>
              <w:t>陆域</w:t>
            </w:r>
          </w:p>
        </w:tc>
        <w:tc>
          <w:tcPr>
            <w:tcW w:w="269" w:type="pct"/>
            <w:noWrap w:val="0"/>
            <w:vAlign w:val="center"/>
          </w:tcPr>
          <w:p>
            <w:pPr>
              <w:spacing w:line="250" w:lineRule="exact"/>
              <w:ind w:left="-63" w:leftChars="-30" w:right="-63" w:rightChars="-30"/>
              <w:jc w:val="center"/>
              <w:rPr>
                <w:rFonts w:hint="eastAsia" w:ascii="黑体" w:hAnsi="宋体" w:eastAsia="黑体" w:cs="黑体"/>
                <w:kern w:val="0"/>
                <w:sz w:val="18"/>
                <w:szCs w:val="18"/>
              </w:rPr>
            </w:pPr>
            <w:r>
              <w:rPr>
                <w:rFonts w:hint="eastAsia" w:ascii="黑体" w:hAnsi="宋体" w:eastAsia="黑体" w:cs="黑体"/>
                <w:kern w:val="0"/>
                <w:sz w:val="18"/>
                <w:szCs w:val="18"/>
              </w:rPr>
              <w:t>面积</w:t>
            </w:r>
          </w:p>
          <w:p>
            <w:pPr>
              <w:spacing w:line="250" w:lineRule="exact"/>
              <w:ind w:left="-63" w:leftChars="-30" w:right="-63" w:rightChars="-30"/>
              <w:jc w:val="center"/>
              <w:rPr>
                <w:rFonts w:hint="eastAsia" w:ascii="黑体" w:hAnsi="宋体" w:eastAsia="黑体" w:cs="黑体"/>
                <w:kern w:val="0"/>
                <w:sz w:val="18"/>
                <w:szCs w:val="18"/>
              </w:rPr>
            </w:pPr>
            <w:r>
              <w:rPr>
                <w:rFonts w:hint="eastAsia" w:ascii="黑体" w:hAnsi="宋体" w:eastAsia="黑体" w:cs="黑体"/>
                <w:kern w:val="0"/>
                <w:sz w:val="18"/>
                <w:szCs w:val="18"/>
              </w:rPr>
              <w:t>（</w:t>
            </w:r>
            <w:r>
              <w:rPr>
                <w:rFonts w:hint="eastAsia" w:ascii="黑体" w:hAnsi="宋体" w:eastAsia="黑体" w:cs="仿宋_GB2312"/>
                <w:kern w:val="0"/>
                <w:sz w:val="18"/>
                <w:szCs w:val="18"/>
              </w:rPr>
              <w:t>km</w:t>
            </w:r>
            <w:r>
              <w:rPr>
                <w:rFonts w:hint="eastAsia" w:ascii="黑体" w:hAnsi="宋体" w:eastAsia="黑体" w:cs="仿宋_GB2312"/>
                <w:kern w:val="0"/>
                <w:sz w:val="18"/>
                <w:szCs w:val="18"/>
                <w:vertAlign w:val="superscript"/>
              </w:rPr>
              <w:t>2</w:t>
            </w:r>
            <w:r>
              <w:rPr>
                <w:rFonts w:hint="eastAsia" w:ascii="黑体" w:hAnsi="宋体" w:eastAsia="黑体" w:cs="黑体"/>
                <w:kern w:val="0"/>
                <w:sz w:val="18"/>
                <w:szCs w:val="18"/>
              </w:rPr>
              <w:t>）</w:t>
            </w:r>
          </w:p>
        </w:tc>
        <w:tc>
          <w:tcPr>
            <w:tcW w:w="246" w:type="pct"/>
            <w:vMerge w:val="continue"/>
            <w:noWrap w:val="0"/>
            <w:vAlign w:val="center"/>
          </w:tcPr>
          <w:p>
            <w:pPr>
              <w:spacing w:line="250" w:lineRule="exact"/>
              <w:ind w:left="-63" w:leftChars="-30" w:right="-63" w:rightChars="-30"/>
              <w:jc w:val="center"/>
              <w:rPr>
                <w:rFonts w:hint="eastAsia" w:ascii="黑体" w:hAnsi="宋体" w:eastAsia="黑体"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2" w:type="pct"/>
            <w:vMerge w:val="restart"/>
            <w:noWrap w:val="0"/>
            <w:vAlign w:val="center"/>
          </w:tcPr>
          <w:p>
            <w:pPr>
              <w:spacing w:line="250" w:lineRule="exact"/>
              <w:ind w:left="-63" w:leftChars="-30" w:right="-63" w:rightChars="-30"/>
              <w:jc w:val="center"/>
              <w:rPr>
                <w:rFonts w:hint="eastAsia" w:ascii="宋体" w:hAnsi="宋体" w:cs="仿宋_GB2312"/>
                <w:kern w:val="0"/>
                <w:sz w:val="18"/>
                <w:szCs w:val="18"/>
              </w:rPr>
            </w:pPr>
            <w:r>
              <w:rPr>
                <w:rFonts w:hint="eastAsia" w:ascii="宋体" w:hAnsi="宋体" w:cs="仿宋_GB2312"/>
                <w:kern w:val="0"/>
                <w:sz w:val="18"/>
                <w:szCs w:val="18"/>
              </w:rPr>
              <w:t>1</w:t>
            </w:r>
          </w:p>
        </w:tc>
        <w:tc>
          <w:tcPr>
            <w:tcW w:w="236" w:type="pct"/>
            <w:vMerge w:val="restart"/>
            <w:noWrap w:val="0"/>
            <w:vAlign w:val="center"/>
          </w:tcPr>
          <w:p>
            <w:pPr>
              <w:spacing w:line="250" w:lineRule="exact"/>
              <w:ind w:left="-63" w:leftChars="-30" w:right="-63" w:rightChars="-30"/>
              <w:jc w:val="center"/>
              <w:rPr>
                <w:rFonts w:ascii="宋体" w:hAnsi="宋体" w:cs="仿宋_GB2312"/>
                <w:kern w:val="0"/>
                <w:sz w:val="18"/>
                <w:szCs w:val="18"/>
              </w:rPr>
            </w:pPr>
            <w:r>
              <w:rPr>
                <w:rFonts w:ascii="宋体" w:hAnsi="宋体" w:cs="仿宋_GB2312"/>
                <w:kern w:val="0"/>
                <w:sz w:val="18"/>
                <w:szCs w:val="18"/>
              </w:rPr>
              <w:t>龙华区</w:t>
            </w:r>
          </w:p>
        </w:tc>
        <w:tc>
          <w:tcPr>
            <w:tcW w:w="246" w:type="pct"/>
            <w:vMerge w:val="restart"/>
            <w:noWrap w:val="0"/>
            <w:vAlign w:val="center"/>
          </w:tcPr>
          <w:p>
            <w:pPr>
              <w:spacing w:line="250" w:lineRule="exact"/>
              <w:ind w:left="-63" w:leftChars="-30" w:right="-63" w:rightChars="-30"/>
              <w:rPr>
                <w:rFonts w:ascii="宋体" w:hAnsi="宋体" w:cs="仿宋_GB2312"/>
                <w:kern w:val="0"/>
                <w:sz w:val="18"/>
                <w:szCs w:val="18"/>
              </w:rPr>
            </w:pPr>
            <w:r>
              <w:rPr>
                <w:rFonts w:ascii="宋体" w:hAnsi="宋体" w:cs="仿宋_GB2312"/>
                <w:kern w:val="0"/>
                <w:sz w:val="18"/>
                <w:szCs w:val="18"/>
              </w:rPr>
              <w:t>长岭皮水库饮用水水源保护区</w:t>
            </w:r>
          </w:p>
        </w:tc>
        <w:tc>
          <w:tcPr>
            <w:tcW w:w="333" w:type="pct"/>
            <w:noWrap w:val="0"/>
            <w:vAlign w:val="center"/>
          </w:tcPr>
          <w:p>
            <w:pPr>
              <w:widowControl/>
              <w:spacing w:line="250" w:lineRule="exact"/>
              <w:ind w:left="-63" w:leftChars="-30" w:right="-63" w:rightChars="-30"/>
              <w:jc w:val="center"/>
              <w:rPr>
                <w:rFonts w:ascii="宋体" w:hAnsi="宋体" w:cs="宋体"/>
                <w:kern w:val="0"/>
                <w:sz w:val="18"/>
                <w:szCs w:val="18"/>
              </w:rPr>
            </w:pPr>
            <w:r>
              <w:rPr>
                <w:rFonts w:hint="eastAsia" w:ascii="宋体" w:hAnsi="宋体" w:cs="仿宋_GB2312"/>
                <w:kern w:val="0"/>
                <w:sz w:val="18"/>
                <w:szCs w:val="18"/>
              </w:rPr>
              <w:t>Ⅱ</w:t>
            </w:r>
            <w:r>
              <w:rPr>
                <w:rFonts w:hint="eastAsia" w:ascii="宋体" w:hAnsi="宋体" w:cs="宋体"/>
                <w:kern w:val="0"/>
                <w:sz w:val="18"/>
                <w:szCs w:val="18"/>
              </w:rPr>
              <w:t>类</w:t>
            </w:r>
          </w:p>
        </w:tc>
        <w:tc>
          <w:tcPr>
            <w:tcW w:w="246" w:type="pct"/>
            <w:noWrap w:val="0"/>
            <w:vAlign w:val="center"/>
          </w:tcPr>
          <w:p>
            <w:pPr>
              <w:spacing w:line="250" w:lineRule="exact"/>
              <w:ind w:left="-63" w:leftChars="-30" w:right="-63" w:rightChars="-30"/>
              <w:jc w:val="center"/>
              <w:rPr>
                <w:rFonts w:ascii="宋体" w:hAnsi="宋体" w:cs="仿宋_GB2312"/>
                <w:kern w:val="0"/>
                <w:sz w:val="18"/>
                <w:szCs w:val="18"/>
              </w:rPr>
            </w:pPr>
            <w:r>
              <w:rPr>
                <w:rFonts w:hint="eastAsia" w:ascii="宋体" w:hAnsi="宋体" w:cs="仿宋_GB2312"/>
                <w:kern w:val="0"/>
                <w:sz w:val="18"/>
                <w:szCs w:val="18"/>
              </w:rPr>
              <w:t>一级</w:t>
            </w:r>
          </w:p>
        </w:tc>
        <w:tc>
          <w:tcPr>
            <w:tcW w:w="469" w:type="pct"/>
            <w:noWrap w:val="0"/>
            <w:vAlign w:val="center"/>
          </w:tcPr>
          <w:p>
            <w:pPr>
              <w:spacing w:line="250" w:lineRule="exact"/>
              <w:ind w:left="-63" w:leftChars="-30" w:right="-63" w:rightChars="-30"/>
              <w:rPr>
                <w:rFonts w:hint="eastAsia" w:ascii="宋体" w:hAnsi="宋体" w:cs="仿宋_GB2312"/>
                <w:kern w:val="0"/>
                <w:sz w:val="18"/>
                <w:szCs w:val="18"/>
              </w:rPr>
            </w:pPr>
            <w:r>
              <w:rPr>
                <w:rFonts w:hint="eastAsia" w:ascii="宋体" w:hAnsi="宋体" w:cs="仿宋_GB2312"/>
                <w:kern w:val="0"/>
                <w:sz w:val="18"/>
                <w:szCs w:val="18"/>
              </w:rPr>
              <w:t>水库正常水位线（</w:t>
            </w:r>
            <w:r>
              <w:rPr>
                <w:rFonts w:ascii="宋体" w:hAnsi="宋体" w:cs="仿宋_GB2312"/>
                <w:kern w:val="0"/>
                <w:sz w:val="18"/>
                <w:szCs w:val="18"/>
              </w:rPr>
              <w:t>62.50m</w:t>
            </w:r>
            <w:r>
              <w:rPr>
                <w:rFonts w:hint="eastAsia" w:ascii="宋体" w:hAnsi="宋体" w:cs="仿宋_GB2312"/>
                <w:kern w:val="0"/>
                <w:sz w:val="18"/>
                <w:szCs w:val="18"/>
              </w:rPr>
              <w:t>）</w:t>
            </w:r>
            <w:r>
              <w:rPr>
                <w:rFonts w:hint="eastAsia" w:ascii="宋体" w:hAnsi="宋体" w:cs="仿宋_GB2312"/>
                <w:spacing w:val="-6"/>
                <w:kern w:val="18"/>
                <w:sz w:val="18"/>
                <w:szCs w:val="18"/>
              </w:rPr>
              <w:t>以下水面范围</w:t>
            </w:r>
            <w:r>
              <w:rPr>
                <w:rFonts w:hint="eastAsia" w:ascii="宋体" w:hAnsi="宋体" w:cs="仿宋_GB2312"/>
                <w:spacing w:val="-32"/>
                <w:kern w:val="18"/>
                <w:sz w:val="18"/>
                <w:szCs w:val="18"/>
              </w:rPr>
              <w:t>，</w:t>
            </w:r>
            <w:r>
              <w:rPr>
                <w:rFonts w:hint="eastAsia" w:ascii="宋体" w:hAnsi="宋体" w:cs="仿宋_GB2312"/>
                <w:spacing w:val="-6"/>
                <w:kern w:val="18"/>
                <w:sz w:val="18"/>
                <w:szCs w:val="18"/>
              </w:rPr>
              <w:t>不含福龙路段</w:t>
            </w:r>
            <w:r>
              <w:rPr>
                <w:rFonts w:hint="eastAsia" w:ascii="宋体" w:hAnsi="宋体" w:cs="仿宋_GB2312"/>
                <w:spacing w:val="-30"/>
                <w:kern w:val="18"/>
                <w:sz w:val="18"/>
                <w:szCs w:val="18"/>
              </w:rPr>
              <w:t>。</w:t>
            </w:r>
          </w:p>
        </w:tc>
        <w:tc>
          <w:tcPr>
            <w:tcW w:w="668" w:type="pct"/>
            <w:noWrap w:val="0"/>
            <w:vAlign w:val="center"/>
          </w:tcPr>
          <w:p>
            <w:pPr>
              <w:spacing w:line="250" w:lineRule="exact"/>
              <w:ind w:left="-63" w:leftChars="-30" w:right="-63" w:rightChars="-30"/>
              <w:rPr>
                <w:rFonts w:ascii="宋体" w:hAnsi="宋体" w:cs="仿宋_GB2312"/>
                <w:kern w:val="0"/>
                <w:sz w:val="18"/>
                <w:szCs w:val="18"/>
              </w:rPr>
            </w:pPr>
            <w:r>
              <w:rPr>
                <w:rFonts w:hint="eastAsia" w:ascii="宋体" w:hAnsi="宋体" w:cs="仿宋_GB2312"/>
                <w:kern w:val="0"/>
                <w:sz w:val="18"/>
                <w:szCs w:val="18"/>
              </w:rPr>
              <w:t>正常水位线向陆域纵深约</w:t>
            </w:r>
            <w:r>
              <w:rPr>
                <w:rFonts w:ascii="宋体" w:hAnsi="宋体" w:cs="仿宋_GB2312"/>
                <w:kern w:val="0"/>
                <w:sz w:val="18"/>
                <w:szCs w:val="18"/>
              </w:rPr>
              <w:t>200m</w:t>
            </w:r>
            <w:r>
              <w:rPr>
                <w:rFonts w:hint="eastAsia" w:ascii="宋体" w:hAnsi="宋体" w:cs="仿宋_GB2312"/>
                <w:kern w:val="0"/>
                <w:sz w:val="18"/>
                <w:szCs w:val="18"/>
              </w:rPr>
              <w:t>的集雨区陆域范围，不含福龙</w:t>
            </w:r>
            <w:r>
              <w:rPr>
                <w:rFonts w:hint="eastAsia" w:ascii="宋体" w:hAnsi="宋体" w:cs="仿宋_GB2312"/>
                <w:spacing w:val="-6"/>
                <w:kern w:val="18"/>
                <w:sz w:val="18"/>
                <w:szCs w:val="18"/>
              </w:rPr>
              <w:t>路、广深港客专铁路。</w:t>
            </w:r>
          </w:p>
        </w:tc>
        <w:tc>
          <w:tcPr>
            <w:tcW w:w="269" w:type="pct"/>
            <w:noWrap w:val="0"/>
            <w:vAlign w:val="center"/>
          </w:tcPr>
          <w:p>
            <w:pPr>
              <w:spacing w:line="250" w:lineRule="exact"/>
              <w:ind w:left="-63" w:leftChars="-30" w:right="-63" w:rightChars="-30"/>
              <w:jc w:val="center"/>
              <w:rPr>
                <w:rFonts w:ascii="宋体" w:hAnsi="宋体" w:cs="仿宋_GB2312"/>
                <w:kern w:val="0"/>
                <w:sz w:val="18"/>
                <w:szCs w:val="18"/>
              </w:rPr>
            </w:pPr>
            <w:r>
              <w:rPr>
                <w:rFonts w:hint="eastAsia" w:ascii="宋体" w:hAnsi="宋体" w:cs="仿宋_GB2312"/>
                <w:kern w:val="0"/>
                <w:sz w:val="18"/>
                <w:szCs w:val="18"/>
              </w:rPr>
              <w:t>3.37</w:t>
            </w:r>
          </w:p>
        </w:tc>
        <w:tc>
          <w:tcPr>
            <w:tcW w:w="539" w:type="pct"/>
            <w:noWrap w:val="0"/>
            <w:vAlign w:val="center"/>
          </w:tcPr>
          <w:p>
            <w:pPr>
              <w:spacing w:line="250" w:lineRule="exact"/>
              <w:ind w:left="-63" w:leftChars="-30" w:right="-63" w:rightChars="-30"/>
              <w:rPr>
                <w:rFonts w:ascii="宋体" w:hAnsi="宋体" w:cs="仿宋_GB2312"/>
                <w:kern w:val="0"/>
                <w:sz w:val="18"/>
                <w:szCs w:val="18"/>
              </w:rPr>
            </w:pPr>
            <w:r>
              <w:rPr>
                <w:rFonts w:hint="eastAsia" w:ascii="宋体" w:hAnsi="宋体" w:cs="仿宋_GB2312"/>
                <w:kern w:val="0"/>
                <w:sz w:val="18"/>
                <w:szCs w:val="18"/>
              </w:rPr>
              <w:t>水库正常水位线（</w:t>
            </w:r>
            <w:r>
              <w:rPr>
                <w:rFonts w:ascii="宋体" w:hAnsi="宋体" w:cs="仿宋_GB2312"/>
                <w:kern w:val="0"/>
                <w:sz w:val="18"/>
                <w:szCs w:val="18"/>
              </w:rPr>
              <w:t>62.50m</w:t>
            </w:r>
            <w:r>
              <w:rPr>
                <w:rFonts w:hint="eastAsia" w:ascii="宋体" w:hAnsi="宋体" w:cs="仿宋_GB2312"/>
                <w:kern w:val="0"/>
                <w:sz w:val="18"/>
                <w:szCs w:val="18"/>
              </w:rPr>
              <w:t>）以下水面范围，不含福龙路段。</w:t>
            </w:r>
          </w:p>
        </w:tc>
        <w:tc>
          <w:tcPr>
            <w:tcW w:w="1347" w:type="pct"/>
            <w:noWrap w:val="0"/>
            <w:vAlign w:val="center"/>
          </w:tcPr>
          <w:p>
            <w:pPr>
              <w:widowControl/>
              <w:spacing w:line="250" w:lineRule="exact"/>
              <w:ind w:left="-63" w:leftChars="-30" w:right="-63" w:rightChars="-30"/>
              <w:rPr>
                <w:rFonts w:ascii="宋体" w:hAnsi="宋体" w:cs="仿宋_GB2312"/>
                <w:kern w:val="0"/>
                <w:sz w:val="18"/>
                <w:szCs w:val="18"/>
              </w:rPr>
            </w:pPr>
            <w:r>
              <w:rPr>
                <w:rFonts w:hint="eastAsia" w:ascii="宋体" w:hAnsi="宋体" w:cs="仿宋_GB2312"/>
                <w:kern w:val="21"/>
                <w:sz w:val="18"/>
                <w:szCs w:val="18"/>
              </w:rPr>
              <w:t>正常水位线向陆域纵深约</w:t>
            </w:r>
            <w:r>
              <w:rPr>
                <w:rFonts w:ascii="宋体" w:hAnsi="宋体" w:cs="仿宋_GB2312"/>
                <w:kern w:val="21"/>
                <w:sz w:val="18"/>
                <w:szCs w:val="18"/>
              </w:rPr>
              <w:t>200m</w:t>
            </w:r>
            <w:r>
              <w:rPr>
                <w:rFonts w:hint="eastAsia" w:ascii="宋体" w:hAnsi="宋体" w:cs="仿宋_GB2312"/>
                <w:kern w:val="21"/>
                <w:sz w:val="18"/>
                <w:szCs w:val="18"/>
              </w:rPr>
              <w:t>的集雨区陆域范围，不含福龙路、长岭皮水库管养消防通道、红木山生态库周边物</w:t>
            </w:r>
            <w:r>
              <w:rPr>
                <w:rFonts w:hint="eastAsia" w:ascii="宋体" w:hAnsi="宋体" w:cs="仿宋_GB2312"/>
                <w:kern w:val="0"/>
                <w:sz w:val="18"/>
                <w:szCs w:val="18"/>
              </w:rPr>
              <w:t>理隔离区。</w:t>
            </w:r>
          </w:p>
        </w:tc>
        <w:tc>
          <w:tcPr>
            <w:tcW w:w="269" w:type="pct"/>
            <w:noWrap w:val="0"/>
            <w:vAlign w:val="center"/>
          </w:tcPr>
          <w:p>
            <w:pPr>
              <w:spacing w:line="250" w:lineRule="exact"/>
              <w:ind w:left="-63" w:leftChars="-30" w:right="-63" w:rightChars="-30"/>
              <w:jc w:val="center"/>
              <w:rPr>
                <w:rFonts w:ascii="宋体" w:hAnsi="宋体" w:cs="仿宋_GB2312"/>
                <w:kern w:val="0"/>
                <w:sz w:val="18"/>
                <w:szCs w:val="18"/>
              </w:rPr>
            </w:pPr>
            <w:r>
              <w:rPr>
                <w:rFonts w:ascii="宋体" w:hAnsi="宋体" w:cs="仿宋_GB2312"/>
                <w:kern w:val="0"/>
                <w:sz w:val="18"/>
                <w:szCs w:val="18"/>
              </w:rPr>
              <w:t>2.92</w:t>
            </w:r>
          </w:p>
        </w:tc>
        <w:tc>
          <w:tcPr>
            <w:tcW w:w="246" w:type="pct"/>
            <w:vMerge w:val="restart"/>
            <w:noWrap w:val="0"/>
            <w:vAlign w:val="center"/>
          </w:tcPr>
          <w:p>
            <w:pPr>
              <w:spacing w:line="250" w:lineRule="exact"/>
              <w:ind w:left="-63" w:leftChars="-30" w:right="-63" w:rightChars="-30"/>
              <w:rPr>
                <w:rFonts w:ascii="宋体" w:hAnsi="宋体" w:cs="仿宋_GB2312"/>
                <w:kern w:val="0"/>
                <w:sz w:val="18"/>
                <w:szCs w:val="18"/>
              </w:rPr>
            </w:pPr>
            <w:r>
              <w:rPr>
                <w:rFonts w:hint="eastAsia" w:ascii="宋体" w:hAnsi="宋体" w:cs="仿宋_GB2312"/>
                <w:kern w:val="0"/>
                <w:sz w:val="18"/>
                <w:szCs w:val="18"/>
              </w:rPr>
              <w:t>通过水质保障工程使汇水范围发生实质性改变以调整区划。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2" w:type="pct"/>
            <w:vMerge w:val="continue"/>
            <w:noWrap w:val="0"/>
            <w:vAlign w:val="center"/>
          </w:tcPr>
          <w:p>
            <w:pPr>
              <w:spacing w:line="280" w:lineRule="exact"/>
              <w:ind w:left="-63" w:leftChars="-30" w:right="-63" w:rightChars="-30"/>
              <w:jc w:val="center"/>
              <w:rPr>
                <w:rFonts w:ascii="宋体" w:hAnsi="宋体" w:cs="仿宋_GB2312"/>
                <w:kern w:val="0"/>
                <w:sz w:val="18"/>
                <w:szCs w:val="18"/>
              </w:rPr>
            </w:pPr>
          </w:p>
        </w:tc>
        <w:tc>
          <w:tcPr>
            <w:tcW w:w="236" w:type="pct"/>
            <w:vMerge w:val="continue"/>
            <w:noWrap w:val="0"/>
            <w:vAlign w:val="center"/>
          </w:tcPr>
          <w:p>
            <w:pPr>
              <w:spacing w:line="280" w:lineRule="exact"/>
              <w:ind w:left="-63" w:leftChars="-30" w:right="-63" w:rightChars="-30"/>
              <w:jc w:val="center"/>
              <w:rPr>
                <w:rFonts w:ascii="宋体" w:hAnsi="宋体" w:cs="仿宋_GB2312"/>
                <w:kern w:val="0"/>
                <w:sz w:val="18"/>
                <w:szCs w:val="18"/>
              </w:rPr>
            </w:pPr>
          </w:p>
        </w:tc>
        <w:tc>
          <w:tcPr>
            <w:tcW w:w="246" w:type="pct"/>
            <w:vMerge w:val="continue"/>
            <w:noWrap w:val="0"/>
            <w:vAlign w:val="center"/>
          </w:tcPr>
          <w:p>
            <w:pPr>
              <w:spacing w:line="280" w:lineRule="exact"/>
              <w:ind w:left="-63" w:leftChars="-30" w:right="-63" w:rightChars="-30"/>
              <w:rPr>
                <w:rFonts w:ascii="宋体" w:hAnsi="宋体" w:cs="仿宋_GB2312"/>
                <w:kern w:val="0"/>
                <w:sz w:val="18"/>
                <w:szCs w:val="18"/>
              </w:rPr>
            </w:pPr>
          </w:p>
        </w:tc>
        <w:tc>
          <w:tcPr>
            <w:tcW w:w="333" w:type="pct"/>
            <w:noWrap w:val="0"/>
            <w:vAlign w:val="center"/>
          </w:tcPr>
          <w:p>
            <w:pPr>
              <w:widowControl/>
              <w:spacing w:line="280" w:lineRule="exact"/>
              <w:ind w:left="-63" w:leftChars="-30" w:right="-63" w:rightChars="-30"/>
              <w:jc w:val="center"/>
              <w:rPr>
                <w:rFonts w:ascii="宋体" w:hAnsi="宋体"/>
                <w:kern w:val="0"/>
                <w:sz w:val="18"/>
                <w:szCs w:val="18"/>
              </w:rPr>
            </w:pPr>
            <w:r>
              <w:rPr>
                <w:rFonts w:hint="eastAsia" w:ascii="宋体" w:hAnsi="宋体" w:cs="仿宋_GB2312"/>
                <w:kern w:val="0"/>
                <w:sz w:val="18"/>
                <w:szCs w:val="18"/>
              </w:rPr>
              <w:t>—</w:t>
            </w:r>
          </w:p>
        </w:tc>
        <w:tc>
          <w:tcPr>
            <w:tcW w:w="246" w:type="pct"/>
            <w:noWrap w:val="0"/>
            <w:vAlign w:val="center"/>
          </w:tcPr>
          <w:p>
            <w:pPr>
              <w:spacing w:line="280" w:lineRule="exact"/>
              <w:ind w:left="-63" w:leftChars="-30" w:right="-63" w:rightChars="-30"/>
              <w:jc w:val="center"/>
              <w:rPr>
                <w:rFonts w:ascii="宋体" w:hAnsi="宋体" w:cs="仿宋_GB2312"/>
                <w:kern w:val="0"/>
                <w:sz w:val="18"/>
                <w:szCs w:val="18"/>
              </w:rPr>
            </w:pPr>
            <w:r>
              <w:rPr>
                <w:rFonts w:hint="eastAsia" w:ascii="宋体" w:hAnsi="宋体" w:cs="仿宋_GB2312"/>
                <w:kern w:val="0"/>
                <w:sz w:val="18"/>
                <w:szCs w:val="18"/>
              </w:rPr>
              <w:t>二级</w:t>
            </w:r>
          </w:p>
        </w:tc>
        <w:tc>
          <w:tcPr>
            <w:tcW w:w="469" w:type="pct"/>
            <w:noWrap w:val="0"/>
            <w:vAlign w:val="center"/>
          </w:tcPr>
          <w:p>
            <w:pPr>
              <w:spacing w:line="280" w:lineRule="exact"/>
              <w:ind w:left="-63" w:leftChars="-30" w:right="-63" w:rightChars="-30"/>
              <w:jc w:val="center"/>
              <w:rPr>
                <w:rFonts w:hint="eastAsia" w:ascii="宋体" w:hAnsi="宋体" w:cs="仿宋_GB2312"/>
                <w:kern w:val="0"/>
                <w:sz w:val="18"/>
                <w:szCs w:val="18"/>
              </w:rPr>
            </w:pPr>
            <w:r>
              <w:rPr>
                <w:rFonts w:hint="eastAsia" w:ascii="宋体" w:hAnsi="宋体" w:cs="仿宋_GB2312"/>
                <w:kern w:val="0"/>
                <w:sz w:val="18"/>
                <w:szCs w:val="18"/>
              </w:rPr>
              <w:t>—</w:t>
            </w:r>
          </w:p>
        </w:tc>
        <w:tc>
          <w:tcPr>
            <w:tcW w:w="668" w:type="pct"/>
            <w:noWrap w:val="0"/>
            <w:vAlign w:val="center"/>
          </w:tcPr>
          <w:p>
            <w:pPr>
              <w:spacing w:line="260" w:lineRule="exact"/>
              <w:ind w:left="-63" w:leftChars="-30" w:right="-63" w:rightChars="-30"/>
              <w:rPr>
                <w:rFonts w:ascii="宋体" w:hAnsi="宋体" w:cs="仿宋_GB2312"/>
                <w:kern w:val="0"/>
                <w:sz w:val="18"/>
                <w:szCs w:val="18"/>
              </w:rPr>
            </w:pPr>
            <w:r>
              <w:rPr>
                <w:rFonts w:hint="eastAsia" w:ascii="宋体" w:hAnsi="宋体" w:cs="仿宋_GB2312"/>
                <w:kern w:val="0"/>
                <w:sz w:val="18"/>
                <w:szCs w:val="18"/>
              </w:rPr>
              <w:t>除一级水源保护区以</w:t>
            </w:r>
            <w:r>
              <w:rPr>
                <w:rFonts w:hint="eastAsia" w:ascii="宋体" w:hAnsi="宋体" w:cs="仿宋_GB2312"/>
                <w:spacing w:val="-3"/>
                <w:kern w:val="18"/>
                <w:sz w:val="18"/>
                <w:szCs w:val="18"/>
              </w:rPr>
              <w:t>外的集雨区陆域范</w:t>
            </w:r>
            <w:r>
              <w:rPr>
                <w:rFonts w:hint="eastAsia" w:ascii="宋体" w:hAnsi="宋体" w:cs="仿宋_GB2312"/>
                <w:kern w:val="0"/>
                <w:sz w:val="18"/>
                <w:szCs w:val="18"/>
              </w:rPr>
              <w:t>围</w:t>
            </w:r>
            <w:r>
              <w:rPr>
                <w:rFonts w:hint="eastAsia" w:ascii="宋体" w:hAnsi="宋体" w:cs="仿宋_GB2312"/>
                <w:spacing w:val="-32"/>
                <w:kern w:val="18"/>
                <w:sz w:val="18"/>
                <w:szCs w:val="18"/>
              </w:rPr>
              <w:t>。</w:t>
            </w:r>
          </w:p>
        </w:tc>
        <w:tc>
          <w:tcPr>
            <w:tcW w:w="269" w:type="pct"/>
            <w:noWrap w:val="0"/>
            <w:vAlign w:val="center"/>
          </w:tcPr>
          <w:p>
            <w:pPr>
              <w:spacing w:line="260" w:lineRule="exact"/>
              <w:ind w:left="-63" w:leftChars="-30" w:right="-63" w:rightChars="-30"/>
              <w:jc w:val="center"/>
              <w:rPr>
                <w:rFonts w:ascii="宋体" w:hAnsi="宋体" w:cs="仿宋_GB2312"/>
                <w:kern w:val="0"/>
                <w:sz w:val="18"/>
                <w:szCs w:val="18"/>
              </w:rPr>
            </w:pPr>
            <w:r>
              <w:rPr>
                <w:rFonts w:hint="eastAsia" w:ascii="宋体" w:hAnsi="宋体" w:cs="仿宋_GB2312"/>
                <w:kern w:val="0"/>
                <w:sz w:val="18"/>
                <w:szCs w:val="18"/>
              </w:rPr>
              <w:t>4.60</w:t>
            </w:r>
          </w:p>
        </w:tc>
        <w:tc>
          <w:tcPr>
            <w:tcW w:w="539" w:type="pct"/>
            <w:noWrap w:val="0"/>
            <w:vAlign w:val="center"/>
          </w:tcPr>
          <w:p>
            <w:pPr>
              <w:spacing w:line="260" w:lineRule="exact"/>
              <w:ind w:left="-63" w:leftChars="-30" w:right="-63" w:rightChars="-30"/>
              <w:jc w:val="center"/>
              <w:rPr>
                <w:rFonts w:ascii="宋体" w:hAnsi="宋体" w:cs="仿宋_GB2312"/>
                <w:kern w:val="0"/>
                <w:sz w:val="18"/>
                <w:szCs w:val="18"/>
              </w:rPr>
            </w:pPr>
            <w:r>
              <w:rPr>
                <w:rFonts w:hint="eastAsia" w:ascii="宋体" w:hAnsi="宋体" w:cs="仿宋_GB2312"/>
                <w:kern w:val="0"/>
                <w:sz w:val="18"/>
                <w:szCs w:val="18"/>
              </w:rPr>
              <w:t>—</w:t>
            </w:r>
          </w:p>
        </w:tc>
        <w:tc>
          <w:tcPr>
            <w:tcW w:w="1347" w:type="pct"/>
            <w:noWrap w:val="0"/>
            <w:vAlign w:val="center"/>
          </w:tcPr>
          <w:p>
            <w:pPr>
              <w:widowControl/>
              <w:spacing w:line="260" w:lineRule="exact"/>
              <w:ind w:left="-63" w:leftChars="-30" w:right="-63" w:rightChars="-30"/>
              <w:rPr>
                <w:rFonts w:ascii="宋体" w:hAnsi="宋体" w:cs="仿宋_GB2312"/>
                <w:kern w:val="0"/>
                <w:sz w:val="18"/>
                <w:szCs w:val="18"/>
              </w:rPr>
            </w:pPr>
            <w:r>
              <w:rPr>
                <w:rFonts w:hint="eastAsia" w:ascii="宋体" w:hAnsi="宋体" w:cs="仿宋_GB2312"/>
                <w:kern w:val="0"/>
                <w:sz w:val="18"/>
                <w:szCs w:val="18"/>
              </w:rPr>
              <w:t>除一级水源保护区以及广深港客专铁路以东人民路周边物理隔离区、红木山水库周边物理隔离区、龙塘沟上游物理隔离区和龙塘沟中游物理隔离区以外的集雨区陆域范围。</w:t>
            </w:r>
          </w:p>
        </w:tc>
        <w:tc>
          <w:tcPr>
            <w:tcW w:w="269" w:type="pct"/>
            <w:noWrap w:val="0"/>
            <w:vAlign w:val="center"/>
          </w:tcPr>
          <w:p>
            <w:pPr>
              <w:spacing w:line="280" w:lineRule="exact"/>
              <w:ind w:left="-63" w:leftChars="-30" w:right="-63" w:rightChars="-30"/>
              <w:jc w:val="center"/>
              <w:rPr>
                <w:rFonts w:ascii="宋体" w:hAnsi="宋体" w:cs="仿宋_GB2312"/>
                <w:kern w:val="0"/>
                <w:sz w:val="18"/>
                <w:szCs w:val="18"/>
              </w:rPr>
            </w:pPr>
            <w:r>
              <w:rPr>
                <w:rFonts w:ascii="宋体" w:hAnsi="宋体" w:cs="仿宋_GB2312"/>
                <w:kern w:val="0"/>
                <w:sz w:val="18"/>
                <w:szCs w:val="18"/>
              </w:rPr>
              <w:t>2.64</w:t>
            </w:r>
          </w:p>
        </w:tc>
        <w:tc>
          <w:tcPr>
            <w:tcW w:w="246" w:type="pct"/>
            <w:vMerge w:val="continue"/>
            <w:noWrap w:val="0"/>
            <w:vAlign w:val="center"/>
          </w:tcPr>
          <w:p>
            <w:pPr>
              <w:spacing w:line="280" w:lineRule="exact"/>
              <w:ind w:left="-63" w:leftChars="-30" w:right="-63" w:rightChars="-30"/>
              <w:rPr>
                <w:rFonts w:ascii="宋体" w:hAnsi="宋体"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2" w:type="pct"/>
            <w:vMerge w:val="continue"/>
            <w:noWrap w:val="0"/>
            <w:vAlign w:val="center"/>
          </w:tcPr>
          <w:p>
            <w:pPr>
              <w:spacing w:line="280" w:lineRule="exact"/>
              <w:ind w:left="-63" w:leftChars="-30" w:right="-63" w:rightChars="-30"/>
              <w:jc w:val="center"/>
              <w:rPr>
                <w:rFonts w:ascii="宋体" w:hAnsi="宋体" w:cs="仿宋_GB2312"/>
                <w:kern w:val="0"/>
                <w:sz w:val="18"/>
                <w:szCs w:val="18"/>
              </w:rPr>
            </w:pPr>
          </w:p>
        </w:tc>
        <w:tc>
          <w:tcPr>
            <w:tcW w:w="236" w:type="pct"/>
            <w:vMerge w:val="continue"/>
            <w:noWrap w:val="0"/>
            <w:vAlign w:val="center"/>
          </w:tcPr>
          <w:p>
            <w:pPr>
              <w:spacing w:line="280" w:lineRule="exact"/>
              <w:ind w:left="-63" w:leftChars="-30" w:right="-63" w:rightChars="-30"/>
              <w:jc w:val="center"/>
              <w:rPr>
                <w:rFonts w:ascii="宋体" w:hAnsi="宋体" w:cs="仿宋_GB2312"/>
                <w:kern w:val="0"/>
                <w:sz w:val="18"/>
                <w:szCs w:val="18"/>
              </w:rPr>
            </w:pPr>
          </w:p>
        </w:tc>
        <w:tc>
          <w:tcPr>
            <w:tcW w:w="246" w:type="pct"/>
            <w:vMerge w:val="continue"/>
            <w:noWrap w:val="0"/>
            <w:vAlign w:val="center"/>
          </w:tcPr>
          <w:p>
            <w:pPr>
              <w:spacing w:line="280" w:lineRule="exact"/>
              <w:ind w:left="-63" w:leftChars="-30" w:right="-63" w:rightChars="-30"/>
              <w:rPr>
                <w:rFonts w:ascii="宋体" w:hAnsi="宋体" w:cs="仿宋_GB2312"/>
                <w:kern w:val="0"/>
                <w:sz w:val="18"/>
                <w:szCs w:val="18"/>
              </w:rPr>
            </w:pPr>
          </w:p>
        </w:tc>
        <w:tc>
          <w:tcPr>
            <w:tcW w:w="333" w:type="pct"/>
            <w:noWrap w:val="0"/>
            <w:vAlign w:val="center"/>
          </w:tcPr>
          <w:p>
            <w:pPr>
              <w:widowControl/>
              <w:spacing w:line="280" w:lineRule="exact"/>
              <w:ind w:left="-63" w:leftChars="-30" w:right="-63" w:rightChars="-30"/>
              <w:jc w:val="center"/>
              <w:rPr>
                <w:rFonts w:ascii="宋体" w:hAnsi="宋体"/>
                <w:kern w:val="0"/>
                <w:sz w:val="18"/>
                <w:szCs w:val="18"/>
              </w:rPr>
            </w:pPr>
            <w:r>
              <w:rPr>
                <w:rFonts w:hint="eastAsia" w:ascii="宋体" w:hAnsi="宋体" w:cs="仿宋_GB2312"/>
                <w:kern w:val="0"/>
                <w:sz w:val="18"/>
                <w:szCs w:val="18"/>
              </w:rPr>
              <w:t>—</w:t>
            </w:r>
          </w:p>
        </w:tc>
        <w:tc>
          <w:tcPr>
            <w:tcW w:w="246" w:type="pct"/>
            <w:noWrap w:val="0"/>
            <w:vAlign w:val="center"/>
          </w:tcPr>
          <w:p>
            <w:pPr>
              <w:spacing w:line="280" w:lineRule="exact"/>
              <w:ind w:left="-63" w:leftChars="-30" w:right="-63" w:rightChars="-30"/>
              <w:rPr>
                <w:rFonts w:ascii="宋体" w:hAnsi="宋体" w:cs="仿宋_GB2312"/>
                <w:kern w:val="0"/>
                <w:sz w:val="18"/>
                <w:szCs w:val="18"/>
              </w:rPr>
            </w:pPr>
            <w:r>
              <w:rPr>
                <w:rFonts w:hint="eastAsia" w:ascii="宋体" w:hAnsi="宋体" w:cs="仿宋_GB2312"/>
                <w:kern w:val="0"/>
                <w:sz w:val="18"/>
                <w:szCs w:val="18"/>
              </w:rPr>
              <w:t>准保护区</w:t>
            </w:r>
          </w:p>
        </w:tc>
        <w:tc>
          <w:tcPr>
            <w:tcW w:w="469" w:type="pct"/>
            <w:noWrap w:val="0"/>
            <w:vAlign w:val="center"/>
          </w:tcPr>
          <w:p>
            <w:pPr>
              <w:spacing w:line="280" w:lineRule="exact"/>
              <w:ind w:left="-63" w:leftChars="-30" w:right="-63" w:rightChars="-30"/>
              <w:jc w:val="center"/>
              <w:rPr>
                <w:rFonts w:hint="eastAsia" w:ascii="宋体" w:hAnsi="宋体" w:cs="仿宋_GB2312"/>
                <w:kern w:val="0"/>
                <w:sz w:val="18"/>
                <w:szCs w:val="18"/>
              </w:rPr>
            </w:pPr>
          </w:p>
        </w:tc>
        <w:tc>
          <w:tcPr>
            <w:tcW w:w="668" w:type="pct"/>
            <w:noWrap w:val="0"/>
            <w:vAlign w:val="center"/>
          </w:tcPr>
          <w:p>
            <w:pPr>
              <w:spacing w:line="260" w:lineRule="exact"/>
              <w:ind w:left="-63" w:leftChars="-30" w:right="-63" w:rightChars="-30"/>
              <w:rPr>
                <w:rFonts w:hint="eastAsia" w:ascii="宋体" w:hAnsi="宋体" w:cs="仿宋_GB2312"/>
                <w:kern w:val="0"/>
                <w:sz w:val="18"/>
                <w:szCs w:val="18"/>
              </w:rPr>
            </w:pPr>
          </w:p>
        </w:tc>
        <w:tc>
          <w:tcPr>
            <w:tcW w:w="269" w:type="pct"/>
            <w:noWrap w:val="0"/>
            <w:vAlign w:val="center"/>
          </w:tcPr>
          <w:p>
            <w:pPr>
              <w:spacing w:line="260" w:lineRule="exact"/>
              <w:ind w:left="-63" w:leftChars="-30" w:right="-63" w:rightChars="-30"/>
              <w:jc w:val="center"/>
              <w:rPr>
                <w:rFonts w:hint="eastAsia" w:ascii="宋体" w:hAnsi="宋体" w:cs="仿宋_GB2312"/>
                <w:kern w:val="0"/>
                <w:sz w:val="18"/>
                <w:szCs w:val="18"/>
              </w:rPr>
            </w:pPr>
            <w:r>
              <w:rPr>
                <w:rFonts w:hint="eastAsia" w:ascii="宋体" w:hAnsi="宋体" w:cs="仿宋_GB2312"/>
                <w:kern w:val="0"/>
                <w:sz w:val="18"/>
                <w:szCs w:val="18"/>
              </w:rPr>
              <w:t>—</w:t>
            </w:r>
          </w:p>
        </w:tc>
        <w:tc>
          <w:tcPr>
            <w:tcW w:w="539" w:type="pct"/>
            <w:noWrap w:val="0"/>
            <w:vAlign w:val="center"/>
          </w:tcPr>
          <w:p>
            <w:pPr>
              <w:spacing w:line="260" w:lineRule="exact"/>
              <w:ind w:left="-63" w:leftChars="-30" w:right="-63" w:rightChars="-30"/>
              <w:jc w:val="center"/>
              <w:rPr>
                <w:rFonts w:ascii="宋体" w:hAnsi="宋体" w:cs="仿宋_GB2312"/>
                <w:kern w:val="0"/>
                <w:sz w:val="18"/>
                <w:szCs w:val="18"/>
              </w:rPr>
            </w:pPr>
            <w:r>
              <w:rPr>
                <w:rFonts w:hint="eastAsia" w:ascii="宋体" w:hAnsi="宋体" w:cs="仿宋_GB2312"/>
                <w:kern w:val="0"/>
                <w:sz w:val="18"/>
                <w:szCs w:val="18"/>
              </w:rPr>
              <w:t>—</w:t>
            </w:r>
          </w:p>
        </w:tc>
        <w:tc>
          <w:tcPr>
            <w:tcW w:w="1347" w:type="pct"/>
            <w:noWrap w:val="0"/>
            <w:vAlign w:val="center"/>
          </w:tcPr>
          <w:p>
            <w:pPr>
              <w:widowControl/>
              <w:spacing w:line="260" w:lineRule="exact"/>
              <w:ind w:left="-63" w:leftChars="-30" w:right="-63" w:rightChars="-30"/>
              <w:rPr>
                <w:rFonts w:ascii="宋体" w:hAnsi="宋体" w:cs="仿宋_GB2312"/>
                <w:kern w:val="0"/>
                <w:sz w:val="18"/>
                <w:szCs w:val="18"/>
              </w:rPr>
            </w:pPr>
            <w:r>
              <w:rPr>
                <w:rFonts w:hint="eastAsia" w:ascii="宋体" w:hAnsi="宋体" w:cs="仿宋_GB2312"/>
                <w:kern w:val="0"/>
                <w:sz w:val="18"/>
                <w:szCs w:val="18"/>
              </w:rPr>
              <w:t>红木山水库周边物理隔离区、龙塘沟上游物理隔离区和龙塘沟中游物理隔离区。</w:t>
            </w:r>
          </w:p>
        </w:tc>
        <w:tc>
          <w:tcPr>
            <w:tcW w:w="269" w:type="pct"/>
            <w:noWrap w:val="0"/>
            <w:vAlign w:val="center"/>
          </w:tcPr>
          <w:p>
            <w:pPr>
              <w:spacing w:line="280" w:lineRule="exact"/>
              <w:ind w:left="-63" w:leftChars="-30" w:right="-63" w:rightChars="-30"/>
              <w:jc w:val="center"/>
              <w:rPr>
                <w:rFonts w:ascii="宋体" w:hAnsi="宋体" w:cs="仿宋_GB2312"/>
                <w:kern w:val="0"/>
                <w:sz w:val="18"/>
                <w:szCs w:val="18"/>
              </w:rPr>
            </w:pPr>
            <w:r>
              <w:rPr>
                <w:rFonts w:ascii="宋体" w:hAnsi="宋体" w:cs="仿宋_GB2312"/>
                <w:kern w:val="0"/>
                <w:sz w:val="18"/>
                <w:szCs w:val="18"/>
              </w:rPr>
              <w:t>3.89</w:t>
            </w:r>
          </w:p>
        </w:tc>
        <w:tc>
          <w:tcPr>
            <w:tcW w:w="246" w:type="pct"/>
            <w:vMerge w:val="continue"/>
            <w:noWrap w:val="0"/>
            <w:vAlign w:val="center"/>
          </w:tcPr>
          <w:p>
            <w:pPr>
              <w:spacing w:line="280" w:lineRule="exact"/>
              <w:ind w:left="-63" w:leftChars="-30" w:right="-63" w:rightChars="-30"/>
              <w:rPr>
                <w:rFonts w:ascii="宋体" w:hAnsi="宋体" w:cs="仿宋_GB2312"/>
                <w:kern w:val="0"/>
                <w:sz w:val="18"/>
                <w:szCs w:val="18"/>
              </w:rPr>
            </w:pPr>
          </w:p>
        </w:tc>
      </w:tr>
    </w:tbl>
    <w:p>
      <w:pPr>
        <w:spacing w:line="280" w:lineRule="exact"/>
        <w:rPr>
          <w:rFonts w:ascii="宋体" w:hAnsi="宋体"/>
          <w:sz w:val="18"/>
          <w:szCs w:val="1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A295C"/>
    <w:rsid w:val="683A2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图标题"/>
    <w:basedOn w:val="1"/>
    <w:qFormat/>
    <w:uiPriority w:val="0"/>
    <w:pPr>
      <w:spacing w:before="163" w:beforeLines="50" w:after="163" w:afterLines="50"/>
      <w:jc w:val="center"/>
      <w:outlineLvl w:val="0"/>
    </w:pPr>
    <w:rPr>
      <w:rFonts w:ascii="Times New Roman" w:hAnsi="宋体"/>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2021-12-14T03:40:00Z</dcterms:created>
  <dc:creator>微凉</dc:creator>
  <cp:lastModifiedBy>微凉</cp:lastModifiedBy>
  <dcterms:modified xsi:type="dcterms:W3CDTF">2021-12-14T03:40:38Z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133404566C964B3B82EB80ACD60FFFF7</vt:lpwstr>
  </property>
</Properties>
</file>