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cs="宋体" w:asciiTheme="minorEastAsia" w:hAnsiTheme="minorEastAsia" w:eastAsiaTheme="minorEastAsia"/>
          <w:b/>
          <w:sz w:val="44"/>
          <w:szCs w:val="44"/>
        </w:rPr>
      </w:pPr>
    </w:p>
    <w:p>
      <w:pPr>
        <w:spacing w:line="560" w:lineRule="exact"/>
        <w:jc w:val="center"/>
        <w:rPr>
          <w:rFonts w:cs="宋体" w:asciiTheme="minorEastAsia" w:hAnsiTheme="minorEastAsia" w:eastAsiaTheme="minorEastAsia"/>
          <w:b/>
          <w:sz w:val="44"/>
          <w:szCs w:val="44"/>
        </w:rPr>
      </w:pPr>
    </w:p>
    <w:p>
      <w:pPr>
        <w:spacing w:line="560" w:lineRule="exact"/>
        <w:ind w:firstLine="803"/>
        <w:jc w:val="center"/>
        <w:rPr>
          <w:rFonts w:ascii="仿宋_GB2312" w:hAnsi="仿宋_GB2312" w:eastAsia="仿宋_GB2312" w:cs="仿宋_GB2312"/>
          <w:b/>
          <w:sz w:val="32"/>
          <w:szCs w:val="32"/>
        </w:rPr>
      </w:pPr>
      <w:r>
        <w:rPr>
          <w:rFonts w:hint="eastAsia" w:cs="宋体" w:asciiTheme="minorEastAsia" w:hAnsiTheme="minorEastAsia" w:eastAsiaTheme="minorEastAsia"/>
          <w:b/>
          <w:sz w:val="44"/>
          <w:szCs w:val="44"/>
        </w:rPr>
        <w:t>沙河街道2021年世界之窗宿舍区社区共建花园服务项目</w:t>
      </w:r>
    </w:p>
    <w:p>
      <w:pPr>
        <w:spacing w:line="560" w:lineRule="exact"/>
        <w:ind w:firstLine="803"/>
        <w:jc w:val="center"/>
        <w:rPr>
          <w:rFonts w:ascii="仿宋_GB2312" w:hAnsi="仿宋_GB2312" w:eastAsia="仿宋_GB2312" w:cs="仿宋_GB2312"/>
          <w:b/>
          <w:sz w:val="32"/>
          <w:szCs w:val="32"/>
        </w:rPr>
      </w:pPr>
    </w:p>
    <w:p>
      <w:pPr>
        <w:spacing w:line="560" w:lineRule="exact"/>
        <w:ind w:firstLine="803"/>
        <w:jc w:val="center"/>
        <w:rPr>
          <w:rFonts w:ascii="仿宋_GB2312" w:hAnsi="仿宋_GB2312" w:eastAsia="仿宋_GB2312" w:cs="仿宋_GB2312"/>
          <w:b/>
          <w:sz w:val="32"/>
          <w:szCs w:val="32"/>
        </w:rPr>
      </w:pPr>
    </w:p>
    <w:p>
      <w:pPr>
        <w:spacing w:line="560" w:lineRule="exact"/>
        <w:ind w:firstLine="803"/>
        <w:jc w:val="center"/>
        <w:rPr>
          <w:rFonts w:ascii="仿宋_GB2312" w:hAnsi="仿宋_GB2312" w:eastAsia="仿宋_GB2312" w:cs="仿宋_GB2312"/>
          <w:b/>
          <w:sz w:val="32"/>
          <w:szCs w:val="32"/>
        </w:rPr>
      </w:pPr>
    </w:p>
    <w:p>
      <w:pPr>
        <w:spacing w:line="560" w:lineRule="exact"/>
        <w:ind w:firstLine="803"/>
        <w:jc w:val="center"/>
        <w:rPr>
          <w:rFonts w:ascii="仿宋_GB2312" w:hAnsi="仿宋_GB2312" w:eastAsia="仿宋_GB2312" w:cs="仿宋_GB2312"/>
          <w:b/>
          <w:sz w:val="32"/>
          <w:szCs w:val="32"/>
        </w:rPr>
      </w:pPr>
    </w:p>
    <w:p>
      <w:pPr>
        <w:spacing w:line="560" w:lineRule="exact"/>
        <w:ind w:firstLine="803"/>
        <w:jc w:val="center"/>
        <w:rPr>
          <w:rFonts w:ascii="仿宋_GB2312" w:hAnsi="仿宋_GB2312" w:eastAsia="仿宋_GB2312" w:cs="仿宋_GB2312"/>
          <w:b/>
          <w:sz w:val="32"/>
          <w:szCs w:val="32"/>
        </w:rPr>
      </w:pPr>
    </w:p>
    <w:p>
      <w:pPr>
        <w:spacing w:line="560" w:lineRule="exact"/>
        <w:ind w:firstLine="803"/>
        <w:jc w:val="center"/>
        <w:rPr>
          <w:rFonts w:ascii="仿宋_GB2312" w:hAnsi="仿宋_GB2312" w:eastAsia="仿宋_GB2312" w:cs="仿宋_GB2312"/>
          <w:b/>
          <w:sz w:val="32"/>
          <w:szCs w:val="32"/>
        </w:rPr>
      </w:pPr>
    </w:p>
    <w:p>
      <w:pPr>
        <w:spacing w:line="560" w:lineRule="exact"/>
        <w:ind w:firstLine="720"/>
        <w:rPr>
          <w:rFonts w:ascii="仿宋_GB2312" w:hAnsi="仿宋_GB2312" w:eastAsia="仿宋_GB2312" w:cs="仿宋_GB2312"/>
          <w:sz w:val="32"/>
          <w:szCs w:val="32"/>
        </w:rPr>
      </w:pPr>
      <w:r>
        <w:rPr>
          <w:rFonts w:hint="eastAsia" w:ascii="仿宋_GB2312" w:hAnsi="仿宋_GB2312" w:eastAsia="仿宋_GB2312" w:cs="仿宋_GB2312"/>
          <w:sz w:val="32"/>
          <w:szCs w:val="32"/>
        </w:rPr>
        <w:t>采购单位：深圳市南山区沙河街道办事处</w:t>
      </w:r>
    </w:p>
    <w:p>
      <w:pPr>
        <w:spacing w:line="560" w:lineRule="exact"/>
        <w:ind w:firstLine="720"/>
        <w:rPr>
          <w:rFonts w:ascii="仿宋_GB2312" w:hAnsi="仿宋_GB2312" w:eastAsia="仿宋_GB2312" w:cs="仿宋_GB2312"/>
          <w:sz w:val="32"/>
          <w:szCs w:val="32"/>
        </w:rPr>
      </w:pPr>
      <w:r>
        <w:rPr>
          <w:rFonts w:hint="eastAsia" w:ascii="仿宋_GB2312" w:hAnsi="仿宋_GB2312" w:eastAsia="仿宋_GB2312" w:cs="仿宋_GB2312"/>
          <w:sz w:val="32"/>
          <w:szCs w:val="32"/>
        </w:rPr>
        <w:t>采购方式：询价采购</w:t>
      </w:r>
    </w:p>
    <w:p>
      <w:pPr>
        <w:spacing w:line="560" w:lineRule="exact"/>
        <w:ind w:firstLine="720"/>
        <w:rPr>
          <w:rFonts w:ascii="仿宋_GB2312" w:hAnsi="仿宋_GB2312" w:eastAsia="仿宋_GB2312" w:cs="仿宋_GB2312"/>
          <w:sz w:val="32"/>
          <w:szCs w:val="32"/>
        </w:rPr>
      </w:pPr>
      <w:r>
        <w:rPr>
          <w:rFonts w:hint="eastAsia" w:ascii="仿宋_GB2312" w:hAnsi="仿宋_GB2312" w:eastAsia="仿宋_GB2312" w:cs="仿宋_GB2312"/>
          <w:sz w:val="32"/>
          <w:szCs w:val="32"/>
        </w:rPr>
        <w:t>采购类别：服务类</w:t>
      </w:r>
    </w:p>
    <w:p>
      <w:pPr>
        <w:adjustRightInd/>
        <w:snapToGrid/>
        <w:spacing w:line="220" w:lineRule="atLeast"/>
      </w:pPr>
      <w:r>
        <w:br w:type="page"/>
      </w:r>
    </w:p>
    <w:p>
      <w:pPr>
        <w:pStyle w:val="2"/>
      </w:pPr>
      <w:r>
        <w:rPr>
          <w:rFonts w:hint="eastAsia"/>
        </w:rPr>
        <w:t>一、项目背景</w:t>
      </w:r>
    </w:p>
    <w:p>
      <w:pPr>
        <w:spacing w:after="0" w:line="540" w:lineRule="exact"/>
        <w:ind w:firstLine="640" w:firstLineChars="200"/>
        <w:rPr>
          <w:rFonts w:ascii="仿宋_GB2312" w:eastAsia="仿宋_GB2312"/>
          <w:sz w:val="32"/>
          <w:szCs w:val="32"/>
        </w:rPr>
      </w:pPr>
      <w:r>
        <w:rPr>
          <w:rFonts w:hint="eastAsia" w:ascii="仿宋_GB2312" w:eastAsia="仿宋_GB2312"/>
          <w:sz w:val="32"/>
          <w:szCs w:val="32"/>
        </w:rPr>
        <w:t>根据深圳市城市管理和综合执法局《美丽深圳社区共建花园工作手册》（深城管</w:t>
      </w:r>
      <w:r>
        <w:rPr>
          <w:rFonts w:hint="eastAsia" w:ascii="微软雅黑" w:hAnsi="微软雅黑" w:cs="微软雅黑"/>
          <w:sz w:val="32"/>
          <w:szCs w:val="32"/>
        </w:rPr>
        <w:t>﹝</w:t>
      </w:r>
      <w:r>
        <w:rPr>
          <w:rFonts w:hint="eastAsia" w:ascii="仿宋_GB2312" w:eastAsia="仿宋_GB2312"/>
          <w:sz w:val="32"/>
          <w:szCs w:val="32"/>
        </w:rPr>
        <w:t>2020</w:t>
      </w:r>
      <w:r>
        <w:rPr>
          <w:rFonts w:hint="eastAsia" w:ascii="微软雅黑" w:hAnsi="微软雅黑" w:cs="微软雅黑"/>
          <w:sz w:val="32"/>
          <w:szCs w:val="32"/>
        </w:rPr>
        <w:t>﹞</w:t>
      </w:r>
      <w:r>
        <w:rPr>
          <w:rFonts w:hint="eastAsia" w:ascii="仿宋_GB2312" w:eastAsia="仿宋_GB2312"/>
          <w:sz w:val="32"/>
          <w:szCs w:val="32"/>
        </w:rPr>
        <w:t>104号）、南山区城管和综合执法局《关于开展社区共建花园考核工作的通知》的文件要求，拟向社会公开采购一家服务供应商提供沙河街道2021年世界之窗宿舍区社区共建花园服务。</w:t>
      </w:r>
    </w:p>
    <w:p>
      <w:pPr>
        <w:pStyle w:val="2"/>
      </w:pPr>
      <w:r>
        <w:rPr>
          <w:rFonts w:hint="eastAsia"/>
        </w:rPr>
        <w:t>二、项目预算</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794"/>
        <w:gridCol w:w="3118"/>
        <w:gridCol w:w="13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794" w:type="dxa"/>
            <w:vAlign w:val="center"/>
          </w:tcPr>
          <w:p>
            <w:pPr>
              <w:spacing w:after="0"/>
              <w:jc w:val="center"/>
              <w:rPr>
                <w:rFonts w:ascii="仿宋_GB2312" w:eastAsia="仿宋_GB2312"/>
                <w:sz w:val="32"/>
                <w:szCs w:val="32"/>
              </w:rPr>
            </w:pPr>
            <w:r>
              <w:rPr>
                <w:rFonts w:hint="eastAsia" w:ascii="仿宋_GB2312" w:eastAsia="仿宋_GB2312"/>
                <w:sz w:val="32"/>
                <w:szCs w:val="32"/>
              </w:rPr>
              <w:t>项目名称</w:t>
            </w:r>
          </w:p>
        </w:tc>
        <w:tc>
          <w:tcPr>
            <w:tcW w:w="3118" w:type="dxa"/>
            <w:vAlign w:val="center"/>
          </w:tcPr>
          <w:p>
            <w:pPr>
              <w:spacing w:after="0"/>
              <w:jc w:val="center"/>
              <w:rPr>
                <w:rFonts w:ascii="仿宋_GB2312" w:eastAsia="仿宋_GB2312"/>
                <w:sz w:val="32"/>
                <w:szCs w:val="32"/>
              </w:rPr>
            </w:pPr>
            <w:r>
              <w:rPr>
                <w:rFonts w:hint="eastAsia" w:ascii="仿宋_GB2312" w:eastAsia="仿宋_GB2312"/>
                <w:sz w:val="32"/>
                <w:szCs w:val="32"/>
              </w:rPr>
              <w:t>共建花园所在地址</w:t>
            </w:r>
          </w:p>
        </w:tc>
        <w:tc>
          <w:tcPr>
            <w:tcW w:w="1390" w:type="dxa"/>
            <w:vAlign w:val="center"/>
          </w:tcPr>
          <w:p>
            <w:pPr>
              <w:spacing w:after="0"/>
              <w:jc w:val="center"/>
              <w:rPr>
                <w:rFonts w:ascii="仿宋_GB2312" w:eastAsia="仿宋_GB2312"/>
                <w:sz w:val="32"/>
                <w:szCs w:val="32"/>
              </w:rPr>
            </w:pPr>
            <w:r>
              <w:rPr>
                <w:rFonts w:hint="eastAsia" w:ascii="仿宋_GB2312" w:eastAsia="仿宋_GB2312"/>
                <w:sz w:val="32"/>
                <w:szCs w:val="32"/>
              </w:rPr>
              <w:t>预算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94" w:type="dxa"/>
            <w:vAlign w:val="center"/>
          </w:tcPr>
          <w:p>
            <w:pPr>
              <w:spacing w:after="0"/>
              <w:jc w:val="center"/>
              <w:rPr>
                <w:rFonts w:ascii="仿宋_GB2312" w:eastAsia="仿宋_GB2312"/>
                <w:sz w:val="32"/>
                <w:szCs w:val="32"/>
              </w:rPr>
            </w:pPr>
            <w:r>
              <w:rPr>
                <w:rFonts w:hint="eastAsia" w:ascii="仿宋_GB2312" w:eastAsia="仿宋_GB2312"/>
                <w:sz w:val="32"/>
                <w:szCs w:val="32"/>
              </w:rPr>
              <w:t>沙河街道2021年世界之窗宿舍区社区共建花园服务项目</w:t>
            </w:r>
          </w:p>
        </w:tc>
        <w:tc>
          <w:tcPr>
            <w:tcW w:w="3118" w:type="dxa"/>
            <w:vAlign w:val="center"/>
          </w:tcPr>
          <w:p>
            <w:pPr>
              <w:spacing w:after="0"/>
              <w:jc w:val="center"/>
              <w:rPr>
                <w:rFonts w:ascii="仿宋_GB2312" w:eastAsia="仿宋_GB2312"/>
                <w:sz w:val="32"/>
                <w:szCs w:val="32"/>
              </w:rPr>
            </w:pPr>
            <w:r>
              <w:rPr>
                <w:rFonts w:hint="eastAsia" w:ascii="仿宋_GB2312" w:eastAsia="仿宋_GB2312"/>
                <w:sz w:val="32"/>
                <w:szCs w:val="32"/>
              </w:rPr>
              <w:t>红树街世界之窗宿舍区</w:t>
            </w:r>
          </w:p>
        </w:tc>
        <w:tc>
          <w:tcPr>
            <w:tcW w:w="1390" w:type="dxa"/>
            <w:vAlign w:val="center"/>
          </w:tcPr>
          <w:p>
            <w:pPr>
              <w:spacing w:after="0"/>
              <w:jc w:val="center"/>
              <w:rPr>
                <w:rFonts w:ascii="仿宋_GB2312" w:eastAsia="仿宋_GB2312"/>
                <w:sz w:val="32"/>
                <w:szCs w:val="32"/>
              </w:rPr>
            </w:pPr>
            <w:r>
              <w:rPr>
                <w:rFonts w:hint="eastAsia" w:ascii="仿宋_GB2312" w:eastAsia="仿宋_GB2312"/>
                <w:sz w:val="32"/>
                <w:szCs w:val="32"/>
              </w:rPr>
              <w:t>3</w:t>
            </w:r>
            <w:r>
              <w:rPr>
                <w:rFonts w:ascii="仿宋_GB2312" w:eastAsia="仿宋_GB2312"/>
                <w:sz w:val="32"/>
                <w:szCs w:val="32"/>
              </w:rPr>
              <w:t>5</w:t>
            </w:r>
            <w:r>
              <w:rPr>
                <w:rFonts w:hint="eastAsia" w:ascii="仿宋_GB2312" w:eastAsia="仿宋_GB2312"/>
                <w:sz w:val="32"/>
                <w:szCs w:val="32"/>
              </w:rPr>
              <w:t>万元</w:t>
            </w:r>
          </w:p>
        </w:tc>
      </w:tr>
    </w:tbl>
    <w:p/>
    <w:p>
      <w:pPr>
        <w:pStyle w:val="2"/>
      </w:pPr>
      <w:r>
        <w:rPr>
          <w:rFonts w:hint="eastAsia"/>
        </w:rPr>
        <w:t>三、项目服务时间</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11月30日前完成花园的建设工作，维护期为自合同签订之日起一年。</w:t>
      </w:r>
    </w:p>
    <w:p>
      <w:pPr>
        <w:pStyle w:val="2"/>
      </w:pPr>
      <w:r>
        <w:rPr>
          <w:rFonts w:hint="eastAsia"/>
        </w:rPr>
        <w:t>四、服务内容</w:t>
      </w:r>
    </w:p>
    <w:p>
      <w:pPr>
        <w:spacing w:after="0" w:line="540" w:lineRule="exact"/>
        <w:ind w:firstLine="640" w:firstLineChars="200"/>
        <w:rPr>
          <w:rFonts w:ascii="仿宋_GB2312" w:eastAsia="仿宋_GB2312"/>
          <w:sz w:val="32"/>
          <w:szCs w:val="32"/>
        </w:rPr>
      </w:pPr>
      <w:r>
        <w:rPr>
          <w:rFonts w:hint="eastAsia" w:ascii="仿宋_GB2312" w:eastAsia="仿宋_GB2312"/>
          <w:sz w:val="32"/>
          <w:szCs w:val="32"/>
        </w:rPr>
        <w:t>（一）调研宣传</w:t>
      </w:r>
    </w:p>
    <w:p>
      <w:pPr>
        <w:spacing w:after="0" w:line="540" w:lineRule="exact"/>
        <w:ind w:firstLine="640" w:firstLineChars="200"/>
        <w:rPr>
          <w:rFonts w:ascii="仿宋_GB2312" w:eastAsia="仿宋_GB2312"/>
          <w:sz w:val="32"/>
          <w:szCs w:val="32"/>
        </w:rPr>
      </w:pPr>
      <w:r>
        <w:rPr>
          <w:rFonts w:hint="eastAsia" w:ascii="仿宋_GB2312" w:eastAsia="仿宋_GB2312"/>
          <w:sz w:val="32"/>
          <w:szCs w:val="32"/>
        </w:rPr>
        <w:t>调研方式包括相关方访谈、问卷调查、实地考察等，调研内容包括社区信息（了解使用者的构成、倾听使用者的诉求、了解社区文化）、场地信息（地形、土壤、光照等）、可利用资源（雨水收集、太阳能、废弃物利用等）等。</w:t>
      </w:r>
    </w:p>
    <w:p>
      <w:pPr>
        <w:spacing w:after="0" w:line="540" w:lineRule="exact"/>
        <w:ind w:firstLine="640" w:firstLineChars="200"/>
        <w:rPr>
          <w:rFonts w:ascii="仿宋_GB2312" w:eastAsia="仿宋_GB2312"/>
          <w:sz w:val="32"/>
          <w:szCs w:val="32"/>
        </w:rPr>
      </w:pPr>
      <w:r>
        <w:rPr>
          <w:rFonts w:hint="eastAsia" w:ascii="仿宋_GB2312" w:eastAsia="仿宋_GB2312"/>
          <w:sz w:val="32"/>
          <w:szCs w:val="32"/>
        </w:rPr>
        <w:t>（二）花园设计与建造</w:t>
      </w:r>
    </w:p>
    <w:p>
      <w:pPr>
        <w:spacing w:after="0" w:line="540" w:lineRule="exact"/>
        <w:ind w:firstLine="640" w:firstLineChars="200"/>
        <w:rPr>
          <w:rFonts w:ascii="仿宋_GB2312" w:eastAsia="仿宋_GB2312"/>
          <w:sz w:val="32"/>
          <w:szCs w:val="32"/>
        </w:rPr>
      </w:pPr>
      <w:r>
        <w:rPr>
          <w:rFonts w:hint="eastAsia" w:ascii="仿宋_GB2312" w:eastAsia="仿宋_GB2312"/>
          <w:sz w:val="32"/>
          <w:szCs w:val="32"/>
        </w:rPr>
        <w:t>1.采用参与式设计、参与式建造模式。组织招募居民参与花园的设计、建造、运维等各个环节，结合花园选址的特性，明确主题。要求设计兼顾美观和实用性，建造景观效果优美、环境友好的社区共建花园。</w:t>
      </w:r>
    </w:p>
    <w:p>
      <w:pPr>
        <w:spacing w:after="0" w:line="540" w:lineRule="exact"/>
        <w:ind w:firstLine="640" w:firstLineChars="200"/>
        <w:rPr>
          <w:rFonts w:ascii="仿宋_GB2312" w:eastAsia="仿宋_GB2312"/>
          <w:sz w:val="32"/>
          <w:szCs w:val="32"/>
        </w:rPr>
      </w:pPr>
      <w:r>
        <w:rPr>
          <w:rFonts w:hint="eastAsia" w:ascii="仿宋_GB2312" w:eastAsia="仿宋_GB2312"/>
          <w:sz w:val="32"/>
          <w:szCs w:val="32"/>
        </w:rPr>
        <w:t>2.开展系列活动与宣传。开展系列分享会、组织策划宣传活动，做好各阶段工作的活动预告、参与者招募、总结和宣传（图片、视频、文字稿件等），并及时发布图文推送。</w:t>
      </w:r>
    </w:p>
    <w:p>
      <w:pPr>
        <w:spacing w:after="0" w:line="540" w:lineRule="exact"/>
        <w:ind w:firstLine="640" w:firstLineChars="200"/>
        <w:rPr>
          <w:rFonts w:ascii="仿宋_GB2312" w:eastAsia="仿宋_GB2312"/>
          <w:sz w:val="32"/>
          <w:szCs w:val="32"/>
        </w:rPr>
      </w:pPr>
      <w:r>
        <w:rPr>
          <w:rFonts w:hint="eastAsia" w:ascii="仿宋_GB2312" w:eastAsia="仿宋_GB2312"/>
          <w:sz w:val="32"/>
          <w:szCs w:val="32"/>
        </w:rPr>
        <w:t>（三）运营维护</w:t>
      </w:r>
    </w:p>
    <w:p>
      <w:pPr>
        <w:spacing w:after="0" w:line="540" w:lineRule="exact"/>
        <w:ind w:firstLine="640" w:firstLineChars="200"/>
        <w:rPr>
          <w:rFonts w:ascii="仿宋_GB2312" w:eastAsia="仿宋_GB2312"/>
          <w:sz w:val="32"/>
          <w:szCs w:val="32"/>
        </w:rPr>
      </w:pPr>
      <w:r>
        <w:rPr>
          <w:rFonts w:hint="eastAsia" w:ascii="仿宋_GB2312" w:eastAsia="仿宋_GB2312"/>
          <w:sz w:val="32"/>
          <w:szCs w:val="32"/>
        </w:rPr>
        <w:t>建立常态化的运营维护团队和花园可持续机制，定期开展运营活动，根据采购单位要求维持社区共建花园干净整洁和景观观赏性，定期对花园进行维护，包括卫生保洁、浇水、补植、修剪等。</w:t>
      </w:r>
    </w:p>
    <w:p>
      <w:pPr>
        <w:pStyle w:val="2"/>
      </w:pPr>
      <w:r>
        <w:rPr>
          <w:rFonts w:hint="eastAsia"/>
        </w:rPr>
        <w:t>五、评审方式</w:t>
      </w:r>
    </w:p>
    <w:p>
      <w:pPr>
        <w:spacing w:line="54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供应商需按要求提供高质量的报价文件，我单位将对各个供应商报价文件按照以下因素进行横向比较，综合评审出两家中标供应商。</w:t>
      </w:r>
    </w:p>
    <w:tbl>
      <w:tblPr>
        <w:tblStyle w:val="8"/>
        <w:tblW w:w="8429"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4"/>
        <w:gridCol w:w="709"/>
        <w:gridCol w:w="69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trPr>
        <w:tc>
          <w:tcPr>
            <w:tcW w:w="724" w:type="dxa"/>
            <w:vAlign w:val="center"/>
          </w:tcPr>
          <w:p>
            <w:pPr>
              <w:spacing w:after="0" w:line="540" w:lineRule="exact"/>
              <w:jc w:val="center"/>
              <w:rPr>
                <w:rFonts w:ascii="仿宋_GB2312" w:hAnsi="宋体" w:eastAsia="仿宋_GB2312" w:cs="宋体"/>
                <w:color w:val="000000"/>
                <w:sz w:val="32"/>
                <w:szCs w:val="32"/>
              </w:rPr>
            </w:pPr>
            <w:r>
              <w:rPr>
                <w:rFonts w:hint="eastAsia" w:ascii="仿宋_GB2312" w:hAnsi="宋体" w:eastAsia="仿宋_GB2312" w:cs="宋体"/>
                <w:color w:val="000000"/>
                <w:sz w:val="32"/>
                <w:szCs w:val="32"/>
              </w:rPr>
              <w:t>序号</w:t>
            </w:r>
          </w:p>
        </w:tc>
        <w:tc>
          <w:tcPr>
            <w:tcW w:w="709" w:type="dxa"/>
            <w:vAlign w:val="center"/>
          </w:tcPr>
          <w:p>
            <w:pPr>
              <w:spacing w:after="0" w:line="540" w:lineRule="exact"/>
              <w:jc w:val="center"/>
              <w:rPr>
                <w:rFonts w:ascii="仿宋_GB2312" w:hAnsi="宋体" w:eastAsia="仿宋_GB2312" w:cs="宋体"/>
                <w:color w:val="000000"/>
                <w:sz w:val="32"/>
                <w:szCs w:val="32"/>
              </w:rPr>
            </w:pPr>
            <w:r>
              <w:rPr>
                <w:rFonts w:hint="eastAsia" w:ascii="仿宋_GB2312" w:hAnsi="宋体" w:eastAsia="仿宋_GB2312" w:cs="宋体"/>
                <w:color w:val="000000"/>
                <w:sz w:val="32"/>
                <w:szCs w:val="32"/>
              </w:rPr>
              <w:t>权重</w:t>
            </w:r>
          </w:p>
        </w:tc>
        <w:tc>
          <w:tcPr>
            <w:tcW w:w="6996" w:type="dxa"/>
            <w:shd w:val="clear" w:color="auto" w:fill="auto"/>
            <w:vAlign w:val="center"/>
          </w:tcPr>
          <w:p>
            <w:pPr>
              <w:spacing w:after="0" w:line="540" w:lineRule="exact"/>
              <w:jc w:val="center"/>
              <w:rPr>
                <w:rFonts w:ascii="仿宋_GB2312" w:hAnsi="宋体" w:eastAsia="仿宋_GB2312" w:cs="宋体"/>
                <w:color w:val="000000"/>
                <w:sz w:val="32"/>
                <w:szCs w:val="32"/>
              </w:rPr>
            </w:pPr>
            <w:r>
              <w:rPr>
                <w:rFonts w:hint="eastAsia" w:ascii="仿宋_GB2312" w:hAnsi="宋体" w:eastAsia="仿宋_GB2312" w:cs="宋体"/>
                <w:color w:val="000000"/>
                <w:sz w:val="32"/>
                <w:szCs w:val="32"/>
              </w:rPr>
              <w:t>评审因素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3" w:hRule="atLeast"/>
        </w:trPr>
        <w:tc>
          <w:tcPr>
            <w:tcW w:w="724" w:type="dxa"/>
            <w:vAlign w:val="center"/>
          </w:tcPr>
          <w:p>
            <w:pPr>
              <w:spacing w:after="0" w:line="540" w:lineRule="exact"/>
              <w:jc w:val="center"/>
              <w:rPr>
                <w:rFonts w:ascii="仿宋_GB2312" w:hAnsi="宋体" w:eastAsia="仿宋_GB2312" w:cs="宋体"/>
                <w:color w:val="000000"/>
                <w:sz w:val="32"/>
                <w:szCs w:val="32"/>
              </w:rPr>
            </w:pPr>
            <w:r>
              <w:rPr>
                <w:rFonts w:hint="eastAsia" w:ascii="仿宋_GB2312" w:hAnsi="宋体" w:eastAsia="仿宋_GB2312" w:cs="宋体"/>
                <w:color w:val="000000"/>
                <w:sz w:val="32"/>
                <w:szCs w:val="32"/>
              </w:rPr>
              <w:t>1</w:t>
            </w:r>
          </w:p>
        </w:tc>
        <w:tc>
          <w:tcPr>
            <w:tcW w:w="709" w:type="dxa"/>
            <w:vAlign w:val="center"/>
          </w:tcPr>
          <w:p>
            <w:pPr>
              <w:spacing w:after="0" w:line="540" w:lineRule="exact"/>
              <w:jc w:val="center"/>
              <w:rPr>
                <w:rFonts w:ascii="仿宋_GB2312" w:hAnsi="宋体" w:eastAsia="仿宋_GB2312" w:cs="宋体"/>
                <w:color w:val="000000"/>
                <w:sz w:val="32"/>
                <w:szCs w:val="32"/>
              </w:rPr>
            </w:pPr>
            <w:r>
              <w:rPr>
                <w:rFonts w:hint="eastAsia" w:ascii="仿宋_GB2312" w:hAnsi="宋体" w:eastAsia="仿宋_GB2312" w:cs="宋体"/>
                <w:color w:val="000000"/>
                <w:sz w:val="32"/>
                <w:szCs w:val="32"/>
              </w:rPr>
              <w:t>10</w:t>
            </w:r>
          </w:p>
        </w:tc>
        <w:tc>
          <w:tcPr>
            <w:tcW w:w="6996" w:type="dxa"/>
            <w:shd w:val="clear" w:color="auto" w:fill="auto"/>
          </w:tcPr>
          <w:p>
            <w:pPr>
              <w:spacing w:after="0" w:line="540" w:lineRule="exact"/>
              <w:jc w:val="both"/>
              <w:rPr>
                <w:rFonts w:ascii="仿宋_GB2312" w:hAnsi="宋体" w:eastAsia="仿宋_GB2312" w:cs="宋体"/>
                <w:color w:val="000000"/>
                <w:sz w:val="32"/>
                <w:szCs w:val="32"/>
              </w:rPr>
            </w:pPr>
            <w:r>
              <w:rPr>
                <w:rFonts w:hint="eastAsia" w:ascii="仿宋_GB2312" w:hAnsi="宋体" w:eastAsia="仿宋_GB2312" w:cs="宋体"/>
                <w:color w:val="000000"/>
                <w:sz w:val="32"/>
                <w:szCs w:val="32"/>
              </w:rPr>
              <w:t>根据报价的合理程度进行评判，由评审委员进行优劣打分，报价全面贴合项目需求，能够最大限度提升项目服务质量的，最优得10分，依次递减2.5分，最低0分。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4" w:hRule="atLeast"/>
        </w:trPr>
        <w:tc>
          <w:tcPr>
            <w:tcW w:w="724" w:type="dxa"/>
            <w:vAlign w:val="center"/>
          </w:tcPr>
          <w:p>
            <w:pPr>
              <w:spacing w:after="0" w:line="540" w:lineRule="exact"/>
              <w:jc w:val="center"/>
              <w:rPr>
                <w:rFonts w:ascii="仿宋_GB2312" w:hAnsi="宋体" w:eastAsia="仿宋_GB2312" w:cs="宋体"/>
                <w:color w:val="000000"/>
                <w:sz w:val="32"/>
                <w:szCs w:val="32"/>
              </w:rPr>
            </w:pPr>
            <w:r>
              <w:rPr>
                <w:rFonts w:hint="eastAsia" w:ascii="仿宋_GB2312" w:hAnsi="宋体" w:eastAsia="仿宋_GB2312" w:cs="宋体"/>
                <w:color w:val="000000"/>
                <w:sz w:val="32"/>
                <w:szCs w:val="32"/>
              </w:rPr>
              <w:t>2</w:t>
            </w:r>
          </w:p>
        </w:tc>
        <w:tc>
          <w:tcPr>
            <w:tcW w:w="709" w:type="dxa"/>
            <w:vAlign w:val="center"/>
          </w:tcPr>
          <w:p>
            <w:pPr>
              <w:spacing w:after="0" w:line="540" w:lineRule="exact"/>
              <w:jc w:val="center"/>
              <w:rPr>
                <w:rFonts w:ascii="仿宋_GB2312" w:hAnsi="宋体" w:eastAsia="仿宋_GB2312" w:cs="宋体"/>
                <w:color w:val="000000"/>
                <w:sz w:val="32"/>
                <w:szCs w:val="32"/>
              </w:rPr>
            </w:pPr>
            <w:r>
              <w:rPr>
                <w:rFonts w:hint="eastAsia" w:ascii="仿宋_GB2312" w:hAnsi="宋体" w:eastAsia="仿宋_GB2312" w:cs="宋体"/>
                <w:color w:val="000000"/>
                <w:sz w:val="32"/>
                <w:szCs w:val="32"/>
              </w:rPr>
              <w:t>20</w:t>
            </w:r>
          </w:p>
        </w:tc>
        <w:tc>
          <w:tcPr>
            <w:tcW w:w="6996" w:type="dxa"/>
            <w:shd w:val="clear" w:color="auto" w:fill="auto"/>
          </w:tcPr>
          <w:p>
            <w:pPr>
              <w:spacing w:after="0" w:line="540" w:lineRule="exact"/>
              <w:jc w:val="both"/>
              <w:rPr>
                <w:rFonts w:ascii="仿宋_GB2312" w:hAnsi="宋体" w:eastAsia="仿宋_GB2312" w:cs="宋体"/>
                <w:color w:val="000000"/>
                <w:sz w:val="32"/>
                <w:szCs w:val="32"/>
              </w:rPr>
            </w:pPr>
            <w:r>
              <w:rPr>
                <w:rFonts w:hint="eastAsia" w:ascii="仿宋_GB2312" w:hAnsi="宋体" w:eastAsia="仿宋_GB2312" w:cs="宋体"/>
                <w:color w:val="000000"/>
                <w:sz w:val="32"/>
                <w:szCs w:val="32"/>
              </w:rPr>
              <w:t>根据供应商提供的服务团队情况进行评判，由评审委员进行优劣打分，服务团队资质齐全，能够最大限度提升项目服务质量的，最优得20分，依次递减2</w:t>
            </w:r>
            <w:r>
              <w:rPr>
                <w:rFonts w:ascii="仿宋_GB2312" w:hAnsi="宋体" w:eastAsia="仿宋_GB2312" w:cs="宋体"/>
                <w:color w:val="000000"/>
                <w:sz w:val="32"/>
                <w:szCs w:val="32"/>
              </w:rPr>
              <w:t>.</w:t>
            </w:r>
            <w:r>
              <w:rPr>
                <w:rFonts w:hint="eastAsia" w:ascii="仿宋_GB2312" w:hAnsi="宋体" w:eastAsia="仿宋_GB2312" w:cs="宋体"/>
                <w:color w:val="000000"/>
                <w:sz w:val="32"/>
                <w:szCs w:val="32"/>
              </w:rPr>
              <w:t>5分，最低0分。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trPr>
        <w:tc>
          <w:tcPr>
            <w:tcW w:w="724" w:type="dxa"/>
            <w:vAlign w:val="center"/>
          </w:tcPr>
          <w:p>
            <w:pPr>
              <w:spacing w:after="0" w:line="540" w:lineRule="exact"/>
              <w:jc w:val="center"/>
              <w:rPr>
                <w:rFonts w:ascii="仿宋_GB2312" w:hAnsi="宋体" w:eastAsia="仿宋_GB2312" w:cs="宋体"/>
                <w:color w:val="000000"/>
                <w:sz w:val="32"/>
                <w:szCs w:val="32"/>
              </w:rPr>
            </w:pPr>
            <w:r>
              <w:rPr>
                <w:rFonts w:hint="eastAsia" w:ascii="仿宋_GB2312" w:hAnsi="宋体" w:eastAsia="仿宋_GB2312" w:cs="宋体"/>
                <w:color w:val="000000"/>
                <w:sz w:val="32"/>
                <w:szCs w:val="32"/>
              </w:rPr>
              <w:t>3</w:t>
            </w:r>
          </w:p>
        </w:tc>
        <w:tc>
          <w:tcPr>
            <w:tcW w:w="709" w:type="dxa"/>
            <w:vAlign w:val="center"/>
          </w:tcPr>
          <w:p>
            <w:pPr>
              <w:spacing w:after="0" w:line="540" w:lineRule="exact"/>
              <w:jc w:val="center"/>
              <w:rPr>
                <w:rFonts w:ascii="仿宋_GB2312" w:hAnsi="宋体" w:eastAsia="仿宋_GB2312" w:cs="宋体"/>
                <w:color w:val="000000"/>
                <w:sz w:val="32"/>
                <w:szCs w:val="32"/>
              </w:rPr>
            </w:pPr>
            <w:r>
              <w:rPr>
                <w:rFonts w:hint="eastAsia" w:ascii="仿宋_GB2312" w:hAnsi="宋体" w:eastAsia="仿宋_GB2312" w:cs="宋体"/>
                <w:color w:val="000000"/>
                <w:sz w:val="32"/>
                <w:szCs w:val="32"/>
              </w:rPr>
              <w:t>20</w:t>
            </w:r>
          </w:p>
        </w:tc>
        <w:tc>
          <w:tcPr>
            <w:tcW w:w="6996" w:type="dxa"/>
            <w:shd w:val="clear" w:color="auto" w:fill="auto"/>
          </w:tcPr>
          <w:p>
            <w:pPr>
              <w:spacing w:after="0" w:line="540" w:lineRule="exact"/>
              <w:rPr>
                <w:rFonts w:ascii="仿宋_GB2312" w:hAnsi="宋体" w:eastAsia="仿宋_GB2312" w:cs="宋体"/>
                <w:color w:val="000000"/>
                <w:sz w:val="32"/>
                <w:szCs w:val="32"/>
              </w:rPr>
            </w:pPr>
            <w:r>
              <w:rPr>
                <w:rFonts w:hint="eastAsia" w:ascii="仿宋_GB2312" w:hAnsi="宋体" w:eastAsia="仿宋_GB2312" w:cs="宋体"/>
                <w:color w:val="000000"/>
                <w:sz w:val="32"/>
                <w:szCs w:val="32"/>
              </w:rPr>
              <w:t>根据供应商提供的资质和通过认证情况以及拥有的获奖情况、表彰等与项目的贴合程度及级别和数量进行评判，由评审委员进行优劣打分。最优的得20分，依次递减2</w:t>
            </w:r>
            <w:r>
              <w:rPr>
                <w:rFonts w:ascii="仿宋_GB2312" w:hAnsi="宋体" w:eastAsia="仿宋_GB2312" w:cs="宋体"/>
                <w:color w:val="000000"/>
                <w:sz w:val="32"/>
                <w:szCs w:val="32"/>
              </w:rPr>
              <w:t>.</w:t>
            </w:r>
            <w:r>
              <w:rPr>
                <w:rFonts w:hint="eastAsia" w:ascii="仿宋_GB2312" w:hAnsi="宋体" w:eastAsia="仿宋_GB2312" w:cs="宋体"/>
                <w:color w:val="000000"/>
                <w:sz w:val="32"/>
                <w:szCs w:val="32"/>
              </w:rPr>
              <w:t>5分，最低0分。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724" w:type="dxa"/>
            <w:vAlign w:val="center"/>
          </w:tcPr>
          <w:p>
            <w:pPr>
              <w:spacing w:after="0" w:line="540" w:lineRule="exact"/>
              <w:jc w:val="center"/>
              <w:rPr>
                <w:rFonts w:ascii="仿宋_GB2312" w:hAnsi="宋体" w:eastAsia="仿宋_GB2312" w:cs="宋体"/>
                <w:color w:val="000000"/>
                <w:sz w:val="32"/>
                <w:szCs w:val="32"/>
              </w:rPr>
            </w:pPr>
            <w:r>
              <w:rPr>
                <w:rFonts w:hint="eastAsia" w:ascii="仿宋_GB2312" w:hAnsi="宋体" w:eastAsia="仿宋_GB2312" w:cs="宋体"/>
                <w:color w:val="000000"/>
                <w:sz w:val="32"/>
                <w:szCs w:val="32"/>
              </w:rPr>
              <w:t>4</w:t>
            </w:r>
          </w:p>
        </w:tc>
        <w:tc>
          <w:tcPr>
            <w:tcW w:w="709" w:type="dxa"/>
            <w:vAlign w:val="center"/>
          </w:tcPr>
          <w:p>
            <w:pPr>
              <w:spacing w:after="0" w:line="540" w:lineRule="exact"/>
              <w:jc w:val="center"/>
              <w:rPr>
                <w:rFonts w:ascii="仿宋_GB2312" w:hAnsi="宋体" w:eastAsia="仿宋_GB2312" w:cs="宋体"/>
                <w:color w:val="000000"/>
                <w:sz w:val="32"/>
                <w:szCs w:val="32"/>
              </w:rPr>
            </w:pPr>
            <w:r>
              <w:rPr>
                <w:rFonts w:hint="eastAsia" w:ascii="仿宋_GB2312" w:hAnsi="宋体" w:eastAsia="仿宋_GB2312" w:cs="宋体"/>
                <w:color w:val="000000"/>
                <w:sz w:val="32"/>
                <w:szCs w:val="32"/>
              </w:rPr>
              <w:t>20</w:t>
            </w:r>
          </w:p>
        </w:tc>
        <w:tc>
          <w:tcPr>
            <w:tcW w:w="6996" w:type="dxa"/>
            <w:shd w:val="clear" w:color="auto" w:fill="auto"/>
          </w:tcPr>
          <w:p>
            <w:pPr>
              <w:spacing w:after="0" w:line="540" w:lineRule="exact"/>
              <w:rPr>
                <w:rFonts w:ascii="仿宋_GB2312" w:hAnsi="宋体" w:eastAsia="仿宋_GB2312" w:cs="宋体"/>
                <w:color w:val="000000"/>
                <w:sz w:val="32"/>
                <w:szCs w:val="32"/>
              </w:rPr>
            </w:pPr>
            <w:r>
              <w:rPr>
                <w:rFonts w:hint="eastAsia" w:ascii="仿宋_GB2312" w:hAnsi="宋体" w:eastAsia="仿宋_GB2312" w:cs="宋体"/>
                <w:color w:val="000000"/>
                <w:sz w:val="32"/>
                <w:szCs w:val="32"/>
              </w:rPr>
              <w:t>根据供应商提供的项目业绩的数量及贴合项目程度，由评审委员进行优劣打分。最优的得20分，依次递减2</w:t>
            </w:r>
            <w:r>
              <w:rPr>
                <w:rFonts w:ascii="仿宋_GB2312" w:hAnsi="宋体" w:eastAsia="仿宋_GB2312" w:cs="宋体"/>
                <w:color w:val="000000"/>
                <w:sz w:val="32"/>
                <w:szCs w:val="32"/>
              </w:rPr>
              <w:t>.</w:t>
            </w:r>
            <w:r>
              <w:rPr>
                <w:rFonts w:hint="eastAsia" w:ascii="仿宋_GB2312" w:hAnsi="宋体" w:eastAsia="仿宋_GB2312" w:cs="宋体"/>
                <w:color w:val="000000"/>
                <w:sz w:val="32"/>
                <w:szCs w:val="32"/>
              </w:rPr>
              <w:t>5分，最低0分。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trPr>
        <w:tc>
          <w:tcPr>
            <w:tcW w:w="724" w:type="dxa"/>
            <w:vAlign w:val="center"/>
          </w:tcPr>
          <w:p>
            <w:pPr>
              <w:spacing w:after="0" w:line="540" w:lineRule="exact"/>
              <w:jc w:val="center"/>
              <w:rPr>
                <w:rFonts w:ascii="仿宋_GB2312" w:hAnsi="宋体" w:eastAsia="仿宋_GB2312" w:cs="宋体"/>
                <w:color w:val="000000"/>
                <w:sz w:val="32"/>
                <w:szCs w:val="32"/>
              </w:rPr>
            </w:pPr>
            <w:r>
              <w:rPr>
                <w:rFonts w:hint="eastAsia" w:ascii="仿宋_GB2312" w:hAnsi="宋体" w:eastAsia="仿宋_GB2312" w:cs="宋体"/>
                <w:color w:val="000000"/>
                <w:sz w:val="32"/>
                <w:szCs w:val="32"/>
              </w:rPr>
              <w:t>5</w:t>
            </w:r>
          </w:p>
        </w:tc>
        <w:tc>
          <w:tcPr>
            <w:tcW w:w="709" w:type="dxa"/>
            <w:vAlign w:val="center"/>
          </w:tcPr>
          <w:p>
            <w:pPr>
              <w:spacing w:after="0" w:line="540" w:lineRule="exact"/>
              <w:jc w:val="center"/>
              <w:rPr>
                <w:rFonts w:ascii="仿宋_GB2312" w:hAnsi="宋体" w:eastAsia="仿宋_GB2312" w:cs="宋体"/>
                <w:color w:val="000000"/>
                <w:sz w:val="32"/>
                <w:szCs w:val="32"/>
              </w:rPr>
            </w:pPr>
            <w:r>
              <w:rPr>
                <w:rFonts w:hint="eastAsia" w:ascii="仿宋_GB2312" w:hAnsi="宋体" w:eastAsia="仿宋_GB2312" w:cs="宋体"/>
                <w:color w:val="000000"/>
                <w:sz w:val="32"/>
                <w:szCs w:val="32"/>
              </w:rPr>
              <w:t>30</w:t>
            </w:r>
          </w:p>
        </w:tc>
        <w:tc>
          <w:tcPr>
            <w:tcW w:w="6996" w:type="dxa"/>
            <w:shd w:val="clear" w:color="auto" w:fill="auto"/>
          </w:tcPr>
          <w:p>
            <w:pPr>
              <w:spacing w:after="0" w:line="540" w:lineRule="exact"/>
              <w:rPr>
                <w:rFonts w:ascii="仿宋_GB2312" w:hAnsi="宋体" w:eastAsia="仿宋_GB2312" w:cs="宋体"/>
                <w:color w:val="000000"/>
                <w:sz w:val="32"/>
                <w:szCs w:val="32"/>
              </w:rPr>
            </w:pPr>
            <w:r>
              <w:rPr>
                <w:rFonts w:hint="eastAsia" w:ascii="仿宋_GB2312" w:hAnsi="宋体" w:eastAsia="仿宋_GB2312" w:cs="宋体"/>
                <w:color w:val="000000" w:themeColor="text1"/>
                <w:sz w:val="32"/>
                <w:szCs w:val="32"/>
                <w14:textFill>
                  <w14:solidFill>
                    <w14:schemeClr w14:val="tx1"/>
                  </w14:solidFill>
                </w14:textFill>
              </w:rPr>
              <w:t>要求投标人充分理解本项目需求情况及业务情况，评审委员根据各投标人的服务方案进行横向比较项目总体概述的全面性、具体性、详实性、准确性和透彻性。</w:t>
            </w:r>
            <w:r>
              <w:rPr>
                <w:rFonts w:hint="eastAsia" w:ascii="仿宋_GB2312" w:hAnsi="宋体" w:eastAsia="仿宋_GB2312" w:cs="宋体"/>
                <w:color w:val="000000" w:themeColor="text1"/>
                <w:sz w:val="32"/>
                <w:szCs w:val="32"/>
                <w14:textFill>
                  <w14:solidFill>
                    <w14:schemeClr w14:val="tx1"/>
                  </w14:solidFill>
                </w14:textFill>
              </w:rPr>
              <w:br w:type="textWrapping"/>
            </w:r>
            <w:r>
              <w:rPr>
                <w:rFonts w:hint="eastAsia" w:ascii="仿宋_GB2312" w:hAnsi="宋体" w:eastAsia="仿宋_GB2312" w:cs="宋体"/>
                <w:color w:val="000000" w:themeColor="text1"/>
                <w:sz w:val="32"/>
                <w:szCs w:val="32"/>
                <w14:textFill>
                  <w14:solidFill>
                    <w14:schemeClr w14:val="tx1"/>
                  </w14:solidFill>
                </w14:textFill>
              </w:rPr>
              <w:t>（一）评分依据：</w:t>
            </w:r>
            <w:r>
              <w:rPr>
                <w:rFonts w:hint="eastAsia" w:ascii="仿宋_GB2312" w:hAnsi="宋体" w:eastAsia="仿宋_GB2312" w:cs="宋体"/>
                <w:color w:val="000000" w:themeColor="text1"/>
                <w:sz w:val="32"/>
                <w:szCs w:val="32"/>
                <w14:textFill>
                  <w14:solidFill>
                    <w14:schemeClr w14:val="tx1"/>
                  </w14:solidFill>
                </w14:textFill>
              </w:rPr>
              <w:br w:type="textWrapping"/>
            </w:r>
            <w:r>
              <w:rPr>
                <w:rFonts w:hint="eastAsia" w:ascii="仿宋_GB2312" w:hAnsi="宋体" w:eastAsia="仿宋_GB2312" w:cs="宋体"/>
                <w:color w:val="000000" w:themeColor="text1"/>
                <w:sz w:val="32"/>
                <w:szCs w:val="32"/>
                <w14:textFill>
                  <w14:solidFill>
                    <w14:schemeClr w14:val="tx1"/>
                  </w14:solidFill>
                </w14:textFill>
              </w:rPr>
              <w:t>1.方案中包含</w:t>
            </w:r>
            <w:r>
              <w:rPr>
                <w:rFonts w:hint="eastAsia" w:ascii="仿宋" w:hAnsi="仿宋" w:eastAsia="仿宋" w:cs="仿宋"/>
                <w:color w:val="000000" w:themeColor="text1"/>
                <w:sz w:val="32"/>
                <w:szCs w:val="32"/>
                <w14:textFill>
                  <w14:solidFill>
                    <w14:schemeClr w14:val="tx1"/>
                  </w14:solidFill>
                </w14:textFill>
              </w:rPr>
              <w:t>调研宣传方案、花园设计与建造方案、运营维护方案等且</w:t>
            </w:r>
            <w:r>
              <w:rPr>
                <w:rFonts w:hint="eastAsia" w:ascii="仿宋_GB2312" w:hAnsi="宋体" w:eastAsia="仿宋_GB2312" w:cs="宋体"/>
                <w:color w:val="000000" w:themeColor="text1"/>
                <w:sz w:val="32"/>
                <w:szCs w:val="32"/>
                <w14:textFill>
                  <w14:solidFill>
                    <w14:schemeClr w14:val="tx1"/>
                  </w14:solidFill>
                </w14:textFill>
              </w:rPr>
              <w:t>总体规划科学合理，能根据采购单位需求进行详细分析，配套措施完善，服务实施方案合理，评价为优得30分；</w:t>
            </w:r>
            <w:r>
              <w:rPr>
                <w:rFonts w:hint="eastAsia" w:ascii="仿宋_GB2312" w:hAnsi="宋体" w:eastAsia="仿宋_GB2312" w:cs="宋体"/>
                <w:color w:val="000000" w:themeColor="text1"/>
                <w:sz w:val="32"/>
                <w:szCs w:val="32"/>
                <w14:textFill>
                  <w14:solidFill>
                    <w14:schemeClr w14:val="tx1"/>
                  </w14:solidFill>
                </w14:textFill>
              </w:rPr>
              <w:br w:type="textWrapping"/>
            </w:r>
            <w:r>
              <w:rPr>
                <w:rFonts w:hint="eastAsia" w:ascii="仿宋_GB2312" w:hAnsi="宋体" w:eastAsia="仿宋_GB2312" w:cs="宋体"/>
                <w:color w:val="000000" w:themeColor="text1"/>
                <w:sz w:val="32"/>
                <w:szCs w:val="32"/>
                <w14:textFill>
                  <w14:solidFill>
                    <w14:schemeClr w14:val="tx1"/>
                  </w14:solidFill>
                </w14:textFill>
              </w:rPr>
              <w:t>2.方案中包含</w:t>
            </w:r>
            <w:r>
              <w:rPr>
                <w:rFonts w:hint="eastAsia" w:ascii="仿宋" w:hAnsi="仿宋" w:eastAsia="仿宋" w:cs="仿宋"/>
                <w:color w:val="000000" w:themeColor="text1"/>
                <w:sz w:val="32"/>
                <w:szCs w:val="32"/>
                <w14:textFill>
                  <w14:solidFill>
                    <w14:schemeClr w14:val="tx1"/>
                  </w14:solidFill>
                </w14:textFill>
              </w:rPr>
              <w:t>调研宣传方案、花园设计与建造方案、运营维护方案等且</w:t>
            </w:r>
            <w:r>
              <w:rPr>
                <w:rFonts w:hint="eastAsia" w:ascii="仿宋_GB2312" w:hAnsi="宋体" w:eastAsia="仿宋_GB2312" w:cs="宋体"/>
                <w:color w:val="000000" w:themeColor="text1"/>
                <w:sz w:val="32"/>
                <w:szCs w:val="32"/>
                <w14:textFill>
                  <w14:solidFill>
                    <w14:schemeClr w14:val="tx1"/>
                  </w14:solidFill>
                </w14:textFill>
              </w:rPr>
              <w:t>总体规划有一定特点，分析合理、切合现场实际情况，配套措施比较完善，服务方案比较合理，评价为良得20分；</w:t>
            </w:r>
            <w:r>
              <w:rPr>
                <w:rFonts w:hint="eastAsia" w:ascii="仿宋_GB2312" w:hAnsi="宋体" w:eastAsia="仿宋_GB2312" w:cs="宋体"/>
                <w:color w:val="000000" w:themeColor="text1"/>
                <w:sz w:val="32"/>
                <w:szCs w:val="32"/>
                <w14:textFill>
                  <w14:solidFill>
                    <w14:schemeClr w14:val="tx1"/>
                  </w14:solidFill>
                </w14:textFill>
              </w:rPr>
              <w:br w:type="textWrapping"/>
            </w:r>
            <w:r>
              <w:rPr>
                <w:rFonts w:hint="eastAsia" w:ascii="仿宋_GB2312" w:hAnsi="宋体" w:eastAsia="仿宋_GB2312" w:cs="宋体"/>
                <w:color w:val="000000" w:themeColor="text1"/>
                <w:sz w:val="32"/>
                <w:szCs w:val="32"/>
                <w14:textFill>
                  <w14:solidFill>
                    <w14:schemeClr w14:val="tx1"/>
                  </w14:solidFill>
                </w14:textFill>
              </w:rPr>
              <w:t>3.方案中包含</w:t>
            </w:r>
            <w:r>
              <w:rPr>
                <w:rFonts w:hint="eastAsia" w:ascii="仿宋" w:hAnsi="仿宋" w:eastAsia="仿宋" w:cs="仿宋"/>
                <w:color w:val="000000" w:themeColor="text1"/>
                <w:sz w:val="32"/>
                <w:szCs w:val="32"/>
                <w14:textFill>
                  <w14:solidFill>
                    <w14:schemeClr w14:val="tx1"/>
                  </w14:solidFill>
                </w14:textFill>
              </w:rPr>
              <w:t>调研宣传方案、花园设计与建造方案、运营维护方案等且</w:t>
            </w:r>
            <w:r>
              <w:rPr>
                <w:rFonts w:hint="eastAsia" w:ascii="仿宋_GB2312" w:hAnsi="宋体" w:eastAsia="仿宋_GB2312" w:cs="宋体"/>
                <w:color w:val="000000" w:themeColor="text1"/>
                <w:sz w:val="32"/>
                <w:szCs w:val="32"/>
                <w14:textFill>
                  <w14:solidFill>
                    <w14:schemeClr w14:val="tx1"/>
                  </w14:solidFill>
                </w14:textFill>
              </w:rPr>
              <w:t>总体规划无突出特点，分析合理，配套措施一般，服务方案一般，评价为中得10分；</w:t>
            </w:r>
            <w:r>
              <w:rPr>
                <w:rFonts w:hint="eastAsia" w:ascii="仿宋_GB2312" w:hAnsi="宋体" w:eastAsia="仿宋_GB2312" w:cs="宋体"/>
                <w:color w:val="000000" w:themeColor="text1"/>
                <w:sz w:val="32"/>
                <w:szCs w:val="32"/>
                <w14:textFill>
                  <w14:solidFill>
                    <w14:schemeClr w14:val="tx1"/>
                  </w14:solidFill>
                </w14:textFill>
              </w:rPr>
              <w:br w:type="textWrapping"/>
            </w:r>
            <w:r>
              <w:rPr>
                <w:rFonts w:hint="eastAsia" w:ascii="仿宋_GB2312" w:hAnsi="宋体" w:eastAsia="仿宋_GB2312" w:cs="宋体"/>
                <w:color w:val="000000"/>
                <w:sz w:val="32"/>
                <w:szCs w:val="32"/>
              </w:rPr>
              <w:t>4.总体规划无特点，配套措施较差，服务方案较差的，评价为差不得分。</w:t>
            </w:r>
          </w:p>
        </w:tc>
      </w:tr>
    </w:tbl>
    <w:p/>
    <w:p/>
    <w:p/>
    <w:p>
      <w:pPr>
        <w:pStyle w:val="2"/>
      </w:pPr>
      <w:r>
        <w:rPr>
          <w:rFonts w:hint="eastAsia"/>
        </w:rPr>
        <w:t>六、报价文件格式及递交要求</w:t>
      </w:r>
    </w:p>
    <w:tbl>
      <w:tblPr>
        <w:tblStyle w:val="8"/>
        <w:tblW w:w="88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8"/>
        <w:gridCol w:w="1621"/>
        <w:gridCol w:w="63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8" w:type="dxa"/>
          </w:tcPr>
          <w:p>
            <w:pPr>
              <w:spacing w:line="50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序号</w:t>
            </w:r>
          </w:p>
        </w:tc>
        <w:tc>
          <w:tcPr>
            <w:tcW w:w="1621" w:type="dxa"/>
          </w:tcPr>
          <w:p>
            <w:pPr>
              <w:spacing w:line="50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项目名称</w:t>
            </w:r>
          </w:p>
        </w:tc>
        <w:tc>
          <w:tcPr>
            <w:tcW w:w="6337" w:type="dxa"/>
          </w:tcPr>
          <w:p>
            <w:pPr>
              <w:spacing w:line="50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具体要求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8" w:type="dxa"/>
          </w:tcPr>
          <w:p>
            <w:pPr>
              <w:spacing w:line="50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1</w:t>
            </w:r>
          </w:p>
        </w:tc>
        <w:tc>
          <w:tcPr>
            <w:tcW w:w="1621" w:type="dxa"/>
          </w:tcPr>
          <w:p>
            <w:pPr>
              <w:spacing w:line="50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格式要求</w:t>
            </w:r>
          </w:p>
        </w:tc>
        <w:tc>
          <w:tcPr>
            <w:tcW w:w="6337" w:type="dxa"/>
          </w:tcPr>
          <w:p>
            <w:pPr>
              <w:spacing w:line="50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按照政府公文格式要求撰写，装订齐整。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878" w:type="dxa"/>
            <w:vAlign w:val="center"/>
          </w:tcPr>
          <w:p>
            <w:pPr>
              <w:spacing w:line="50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2</w:t>
            </w:r>
          </w:p>
        </w:tc>
        <w:tc>
          <w:tcPr>
            <w:tcW w:w="1621" w:type="dxa"/>
            <w:vAlign w:val="center"/>
          </w:tcPr>
          <w:p>
            <w:pPr>
              <w:spacing w:line="50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递交要求</w:t>
            </w:r>
          </w:p>
        </w:tc>
        <w:tc>
          <w:tcPr>
            <w:tcW w:w="6337" w:type="dxa"/>
          </w:tcPr>
          <w:p>
            <w:pPr>
              <w:spacing w:after="0" w:line="50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供应商需认真阅读《</w:t>
            </w:r>
            <w:r>
              <w:rPr>
                <w:rFonts w:hint="eastAsia" w:ascii="仿宋_GB2312" w:eastAsia="仿宋_GB2312"/>
                <w:sz w:val="32"/>
                <w:szCs w:val="32"/>
              </w:rPr>
              <w:t>沙河街道2021年世界之窗宿舍区社区共建花园服务项目</w:t>
            </w:r>
            <w:r>
              <w:rPr>
                <w:rFonts w:hint="eastAsia" w:ascii="仿宋_GB2312" w:hAnsi="仿宋_GB2312" w:eastAsia="仿宋_GB2312" w:cs="仿宋_GB2312"/>
                <w:sz w:val="32"/>
                <w:szCs w:val="32"/>
              </w:rPr>
              <w:t>》，报价文件需包含目录并加盖单位公章和密封，在封面注明项目名称和报价单位名称后，于2021年月日北京时间17：00前送到如下地址：</w:t>
            </w:r>
          </w:p>
          <w:p>
            <w:pPr>
              <w:spacing w:after="0" w:line="50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深云路6号博达大厦</w:t>
            </w:r>
            <w:r>
              <w:rPr>
                <w:rFonts w:ascii="仿宋_GB2312" w:hAnsi="仿宋_GB2312" w:eastAsia="仿宋_GB2312" w:cs="仿宋_GB2312"/>
                <w:sz w:val="32"/>
                <w:szCs w:val="32"/>
              </w:rPr>
              <w:t>404</w:t>
            </w:r>
            <w:r>
              <w:rPr>
                <w:rFonts w:hint="eastAsia" w:ascii="仿宋_GB2312" w:hAnsi="仿宋_GB2312" w:eastAsia="仿宋_GB2312" w:cs="仿宋_GB2312"/>
                <w:sz w:val="32"/>
                <w:szCs w:val="32"/>
              </w:rPr>
              <w:t>室</w:t>
            </w:r>
          </w:p>
          <w:p>
            <w:pPr>
              <w:spacing w:after="0" w:line="50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联系人：许先生</w:t>
            </w:r>
          </w:p>
          <w:p>
            <w:pPr>
              <w:spacing w:after="0" w:line="50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联系方式：</w:t>
            </w:r>
            <w:r>
              <w:rPr>
                <w:rFonts w:hint="eastAsia" w:ascii="仿宋_GB2312" w:eastAsia="仿宋_GB2312"/>
                <w:sz w:val="32"/>
                <w:szCs w:val="32"/>
              </w:rPr>
              <w:t>26605879</w:t>
            </w:r>
          </w:p>
        </w:tc>
      </w:tr>
    </w:tbl>
    <w:p/>
    <w:p>
      <w:pPr>
        <w:pStyle w:val="2"/>
      </w:pPr>
      <w:r>
        <w:rPr>
          <w:rFonts w:hint="eastAsia"/>
        </w:rPr>
        <w:t>七、报价文件内容要求</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1.报价文件封面需注明项目名称和报价单位名称。</w:t>
      </w:r>
    </w:p>
    <w:p>
      <w:pPr>
        <w:rPr>
          <w:rFonts w:ascii="Times New Roman" w:hAnsi="Times New Roman"/>
        </w:rPr>
      </w:pPr>
      <w:r>
        <w:rPr>
          <w:rFonts w:hint="eastAsia" w:ascii="仿宋_GB2312" w:hAnsi="仿宋_GB2312" w:eastAsia="仿宋_GB2312" w:cs="仿宋_GB2312"/>
          <w:sz w:val="32"/>
          <w:szCs w:val="32"/>
        </w:rPr>
        <w:t>2.报价文件第一页需按照以下格式编写：</w:t>
      </w:r>
    </w:p>
    <w:p>
      <w:pPr>
        <w:pStyle w:val="13"/>
        <w:snapToGrid w:val="0"/>
        <w:spacing w:line="540" w:lineRule="exact"/>
        <w:ind w:firstLine="0"/>
        <w:jc w:val="center"/>
        <w:rPr>
          <w:rFonts w:asciiTheme="minorEastAsia" w:hAnsiTheme="minorEastAsia"/>
          <w:b/>
          <w:sz w:val="44"/>
          <w:szCs w:val="44"/>
        </w:rPr>
      </w:pPr>
      <w:r>
        <w:rPr>
          <w:rFonts w:asciiTheme="minorEastAsia" w:hAnsiTheme="minorEastAsia"/>
          <w:b/>
          <w:sz w:val="44"/>
          <w:szCs w:val="44"/>
        </w:rPr>
        <w:br w:type="textWrapping"/>
      </w:r>
    </w:p>
    <w:p>
      <w:pPr>
        <w:rPr>
          <w:rFonts w:asciiTheme="minorEastAsia" w:hAnsiTheme="minorEastAsia"/>
          <w:b/>
          <w:sz w:val="44"/>
          <w:szCs w:val="44"/>
        </w:rPr>
      </w:pPr>
      <w:r>
        <w:rPr>
          <w:rFonts w:asciiTheme="minorEastAsia" w:hAnsiTheme="minorEastAsia"/>
          <w:b/>
          <w:sz w:val="44"/>
          <w:szCs w:val="44"/>
        </w:rPr>
        <w:br w:type="page"/>
      </w:r>
    </w:p>
    <w:p>
      <w:pPr>
        <w:pStyle w:val="13"/>
        <w:snapToGrid w:val="0"/>
        <w:spacing w:line="540" w:lineRule="exact"/>
        <w:ind w:firstLine="0"/>
        <w:jc w:val="center"/>
        <w:rPr>
          <w:rFonts w:asciiTheme="minorEastAsia" w:hAnsiTheme="minorEastAsia"/>
          <w:b/>
          <w:sz w:val="44"/>
          <w:szCs w:val="44"/>
        </w:rPr>
      </w:pPr>
    </w:p>
    <w:p>
      <w:pPr>
        <w:pStyle w:val="13"/>
        <w:snapToGrid w:val="0"/>
        <w:spacing w:line="540" w:lineRule="exact"/>
        <w:ind w:firstLine="0"/>
        <w:jc w:val="center"/>
        <w:rPr>
          <w:rFonts w:asciiTheme="minorEastAsia" w:hAnsiTheme="minorEastAsia"/>
          <w:b/>
          <w:sz w:val="44"/>
          <w:szCs w:val="44"/>
        </w:rPr>
      </w:pPr>
      <w:r>
        <w:rPr>
          <w:rFonts w:hint="eastAsia" w:asciiTheme="minorEastAsia" w:hAnsiTheme="minorEastAsia"/>
          <w:b/>
          <w:sz w:val="44"/>
          <w:szCs w:val="44"/>
        </w:rPr>
        <w:t>沙河街道2021年世界之窗宿舍区社区共建花园服务项目</w:t>
      </w:r>
    </w:p>
    <w:p>
      <w:pPr>
        <w:pStyle w:val="13"/>
        <w:snapToGrid w:val="0"/>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我司完全理解贵单位询价文件的各项内容，承诺完全满足本项目服务内容及其要求，按时保质保量完成本项目，完全接受贵单位关于本项目询价文件中的要求。对于本项目，我司报价为人民币   元，该报价已包含了本项目的所有费用，贵单位无需再为本项目支付其他费用。</w:t>
      </w:r>
    </w:p>
    <w:p>
      <w:pPr>
        <w:pStyle w:val="13"/>
        <w:snapToGrid w:val="0"/>
        <w:spacing w:line="540" w:lineRule="exact"/>
        <w:ind w:firstLine="640" w:firstLineChars="200"/>
        <w:rPr>
          <w:rFonts w:ascii="仿宋_GB2312" w:hAnsi="仿宋_GB2312" w:eastAsia="仿宋_GB2312" w:cs="仿宋_GB2312"/>
          <w:sz w:val="32"/>
          <w:szCs w:val="32"/>
        </w:rPr>
      </w:pPr>
    </w:p>
    <w:p>
      <w:pPr>
        <w:rPr>
          <w:rFonts w:ascii="仿宋_GB2312" w:eastAsia="仿宋_GB2312"/>
          <w:sz w:val="32"/>
          <w:szCs w:val="32"/>
          <w:u w:val="single"/>
        </w:rPr>
      </w:pPr>
      <w:r>
        <w:rPr>
          <w:rFonts w:hint="eastAsia" w:ascii="仿宋_GB2312" w:eastAsia="仿宋_GB2312"/>
          <w:sz w:val="32"/>
          <w:szCs w:val="32"/>
        </w:rPr>
        <w:t>公司名称：（加盖公章）</w:t>
      </w:r>
    </w:p>
    <w:p>
      <w:pPr>
        <w:rPr>
          <w:rFonts w:ascii="仿宋_GB2312" w:eastAsia="仿宋_GB2312"/>
          <w:sz w:val="32"/>
          <w:szCs w:val="32"/>
          <w:u w:val="single"/>
        </w:rPr>
      </w:pPr>
      <w:r>
        <w:rPr>
          <w:rFonts w:hint="eastAsia" w:ascii="仿宋_GB2312" w:eastAsia="仿宋_GB2312"/>
          <w:sz w:val="32"/>
          <w:szCs w:val="32"/>
        </w:rPr>
        <w:t>办公地址：</w:t>
      </w:r>
    </w:p>
    <w:p>
      <w:pPr>
        <w:rPr>
          <w:rFonts w:ascii="仿宋_GB2312" w:eastAsia="仿宋_GB2312"/>
          <w:sz w:val="32"/>
          <w:szCs w:val="32"/>
        </w:rPr>
      </w:pPr>
      <w:r>
        <w:rPr>
          <w:rFonts w:hint="eastAsia" w:ascii="仿宋_GB2312" w:eastAsia="仿宋_GB2312"/>
          <w:sz w:val="32"/>
          <w:szCs w:val="32"/>
        </w:rPr>
        <w:t>联系人：</w:t>
      </w:r>
    </w:p>
    <w:p>
      <w:pPr>
        <w:rPr>
          <w:rFonts w:ascii="仿宋_GB2312" w:eastAsia="仿宋_GB2312"/>
          <w:sz w:val="32"/>
          <w:szCs w:val="32"/>
          <w:u w:val="single"/>
        </w:rPr>
      </w:pPr>
      <w:r>
        <w:rPr>
          <w:rFonts w:hint="eastAsia" w:ascii="仿宋_GB2312" w:eastAsia="仿宋_GB2312"/>
          <w:sz w:val="32"/>
          <w:szCs w:val="32"/>
        </w:rPr>
        <w:t>固定电话：          手机：</w:t>
      </w:r>
    </w:p>
    <w:p>
      <w:pPr>
        <w:rPr>
          <w:rFonts w:ascii="仿宋_GB2312" w:eastAsia="仿宋_GB2312"/>
          <w:sz w:val="32"/>
          <w:szCs w:val="32"/>
        </w:rPr>
      </w:pPr>
      <w:r>
        <w:rPr>
          <w:rFonts w:hint="eastAsia" w:ascii="仿宋_GB2312" w:eastAsia="仿宋_GB2312"/>
          <w:sz w:val="32"/>
          <w:szCs w:val="32"/>
        </w:rPr>
        <w:t>电子邮箱：</w:t>
      </w:r>
    </w:p>
    <w:p>
      <w:pPr>
        <w:ind w:firstLine="640"/>
        <w:rPr>
          <w:rFonts w:ascii="仿宋_GB2312" w:eastAsia="仿宋_GB2312"/>
          <w:sz w:val="32"/>
          <w:szCs w:val="32"/>
        </w:rPr>
      </w:pPr>
      <w:r>
        <w:rPr>
          <w:rFonts w:hint="eastAsia" w:ascii="仿宋_GB2312" w:eastAsia="仿宋_GB2312"/>
          <w:sz w:val="32"/>
          <w:szCs w:val="32"/>
        </w:rPr>
        <w:t>注：我司报价文件还需包含如下内容：1、服务方案；2、分项报价表；3、项目服务团队；4、类似项目业绩。5、公司其他情况介绍。</w:t>
      </w:r>
    </w:p>
    <w:p>
      <w:bookmarkStart w:id="0" w:name="_GoBack"/>
      <w:bookmarkEnd w:id="0"/>
    </w:p>
    <w:sectPr>
      <w:pgSz w:w="11906" w:h="16838"/>
      <w:pgMar w:top="1440" w:right="1797" w:bottom="1440" w:left="1797"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Arial">
    <w:panose1 w:val="020B0604020202020204"/>
    <w:charset w:val="00"/>
    <w:family w:val="swiss"/>
    <w:pitch w:val="default"/>
    <w:sig w:usb0="E0002AFF" w:usb1="C0007843" w:usb2="00000009" w:usb3="00000000" w:csb0="400001FF" w:csb1="FFFF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HorizontalSpacing w:val="11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73F6"/>
    <w:rsid w:val="00016837"/>
    <w:rsid w:val="00052E80"/>
    <w:rsid w:val="00095B7B"/>
    <w:rsid w:val="000A5C15"/>
    <w:rsid w:val="000B6C32"/>
    <w:rsid w:val="000D2DFA"/>
    <w:rsid w:val="000D671D"/>
    <w:rsid w:val="000E5B6E"/>
    <w:rsid w:val="000E62DB"/>
    <w:rsid w:val="000E741C"/>
    <w:rsid w:val="000F0BBC"/>
    <w:rsid w:val="0011148D"/>
    <w:rsid w:val="00182E02"/>
    <w:rsid w:val="00183491"/>
    <w:rsid w:val="001B22F5"/>
    <w:rsid w:val="001B38E5"/>
    <w:rsid w:val="001C34C0"/>
    <w:rsid w:val="001D6DAA"/>
    <w:rsid w:val="002F1282"/>
    <w:rsid w:val="002F6A70"/>
    <w:rsid w:val="00347E90"/>
    <w:rsid w:val="00391C49"/>
    <w:rsid w:val="00394D58"/>
    <w:rsid w:val="004832DD"/>
    <w:rsid w:val="004A79A0"/>
    <w:rsid w:val="004D1563"/>
    <w:rsid w:val="004F6908"/>
    <w:rsid w:val="0052326A"/>
    <w:rsid w:val="00530234"/>
    <w:rsid w:val="0054324C"/>
    <w:rsid w:val="00545794"/>
    <w:rsid w:val="005724FE"/>
    <w:rsid w:val="00574245"/>
    <w:rsid w:val="005A0AC8"/>
    <w:rsid w:val="005B7AFE"/>
    <w:rsid w:val="005F4C30"/>
    <w:rsid w:val="006473F6"/>
    <w:rsid w:val="00660023"/>
    <w:rsid w:val="006734D3"/>
    <w:rsid w:val="006A3E1D"/>
    <w:rsid w:val="00705A19"/>
    <w:rsid w:val="007263AE"/>
    <w:rsid w:val="00760541"/>
    <w:rsid w:val="00833103"/>
    <w:rsid w:val="00842928"/>
    <w:rsid w:val="008A3890"/>
    <w:rsid w:val="0090583A"/>
    <w:rsid w:val="00915921"/>
    <w:rsid w:val="009621B0"/>
    <w:rsid w:val="009823E9"/>
    <w:rsid w:val="00991729"/>
    <w:rsid w:val="00992132"/>
    <w:rsid w:val="009B1839"/>
    <w:rsid w:val="009B76B9"/>
    <w:rsid w:val="00A10BD4"/>
    <w:rsid w:val="00A7278A"/>
    <w:rsid w:val="00A933C6"/>
    <w:rsid w:val="00B11397"/>
    <w:rsid w:val="00B14DE1"/>
    <w:rsid w:val="00B460F9"/>
    <w:rsid w:val="00B84254"/>
    <w:rsid w:val="00BF7D6C"/>
    <w:rsid w:val="00C04CDA"/>
    <w:rsid w:val="00C13F74"/>
    <w:rsid w:val="00C56FAA"/>
    <w:rsid w:val="00C65F09"/>
    <w:rsid w:val="00CA0154"/>
    <w:rsid w:val="00CC647C"/>
    <w:rsid w:val="00CE61BC"/>
    <w:rsid w:val="00D139D8"/>
    <w:rsid w:val="00D63063"/>
    <w:rsid w:val="00D931CA"/>
    <w:rsid w:val="00D936AD"/>
    <w:rsid w:val="00D93CD8"/>
    <w:rsid w:val="00DA21DB"/>
    <w:rsid w:val="00DD77AF"/>
    <w:rsid w:val="00E33486"/>
    <w:rsid w:val="00E44247"/>
    <w:rsid w:val="00E54A3C"/>
    <w:rsid w:val="00E61016"/>
    <w:rsid w:val="00E90BDA"/>
    <w:rsid w:val="00EB4025"/>
    <w:rsid w:val="00EB50FF"/>
    <w:rsid w:val="00EB7629"/>
    <w:rsid w:val="00EE2AAD"/>
    <w:rsid w:val="00EE6E44"/>
    <w:rsid w:val="00F007F9"/>
    <w:rsid w:val="15E13D96"/>
    <w:rsid w:val="1BB851CF"/>
    <w:rsid w:val="3E353D6E"/>
    <w:rsid w:val="403D7F05"/>
    <w:rsid w:val="4FEA2793"/>
    <w:rsid w:val="50B103D4"/>
    <w:rsid w:val="62685D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heme="minorBidi"/>
      <w:sz w:val="22"/>
      <w:szCs w:val="22"/>
      <w:lang w:val="en-US" w:eastAsia="zh-CN" w:bidi="ar-SA"/>
    </w:rPr>
  </w:style>
  <w:style w:type="paragraph" w:styleId="2">
    <w:name w:val="heading 2"/>
    <w:basedOn w:val="1"/>
    <w:next w:val="1"/>
    <w:link w:val="11"/>
    <w:qFormat/>
    <w:uiPriority w:val="0"/>
    <w:pPr>
      <w:keepNext/>
      <w:keepLines/>
      <w:widowControl w:val="0"/>
      <w:adjustRightInd/>
      <w:snapToGrid/>
      <w:spacing w:after="0" w:line="560" w:lineRule="exact"/>
      <w:jc w:val="both"/>
      <w:outlineLvl w:val="1"/>
    </w:pPr>
    <w:rPr>
      <w:rFonts w:ascii="Arial" w:hAnsi="Arial" w:eastAsia="黑体" w:cs="Times New Roman"/>
      <w:bCs/>
      <w:kern w:val="2"/>
      <w:sz w:val="32"/>
      <w:szCs w:val="32"/>
    </w:rPr>
  </w:style>
  <w:style w:type="paragraph" w:styleId="3">
    <w:name w:val="heading 3"/>
    <w:basedOn w:val="1"/>
    <w:next w:val="1"/>
    <w:link w:val="16"/>
    <w:unhideWhenUsed/>
    <w:qFormat/>
    <w:uiPriority w:val="9"/>
    <w:pPr>
      <w:keepNext/>
      <w:keepLines/>
      <w:spacing w:before="100" w:beforeLines="100" w:after="100" w:afterLines="100"/>
      <w:outlineLvl w:val="2"/>
    </w:pPr>
    <w:rPr>
      <w:rFonts w:eastAsia="黑体"/>
      <w:bCs/>
      <w:sz w:val="32"/>
      <w:szCs w:val="32"/>
    </w:rPr>
  </w:style>
  <w:style w:type="character" w:default="1" w:styleId="10">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4">
    <w:name w:val="Normal Indent"/>
    <w:basedOn w:val="1"/>
    <w:link w:val="15"/>
    <w:qFormat/>
    <w:uiPriority w:val="0"/>
    <w:pPr>
      <w:widowControl w:val="0"/>
      <w:adjustRightInd/>
      <w:snapToGrid/>
      <w:spacing w:after="0"/>
      <w:ind w:firstLine="420"/>
      <w:jc w:val="both"/>
    </w:pPr>
    <w:rPr>
      <w:rFonts w:ascii="Times New Roman" w:hAnsi="Times New Roman" w:eastAsia="宋体" w:cs="Times New Roman"/>
      <w:kern w:val="2"/>
      <w:sz w:val="21"/>
      <w:szCs w:val="20"/>
    </w:rPr>
  </w:style>
  <w:style w:type="paragraph" w:styleId="5">
    <w:name w:val="Balloon Text"/>
    <w:basedOn w:val="1"/>
    <w:link w:val="17"/>
    <w:unhideWhenUsed/>
    <w:qFormat/>
    <w:uiPriority w:val="99"/>
    <w:pPr>
      <w:spacing w:after="0"/>
    </w:pPr>
    <w:rPr>
      <w:sz w:val="18"/>
      <w:szCs w:val="18"/>
    </w:rPr>
  </w:style>
  <w:style w:type="paragraph" w:styleId="6">
    <w:name w:val="footer"/>
    <w:basedOn w:val="1"/>
    <w:link w:val="20"/>
    <w:unhideWhenUsed/>
    <w:uiPriority w:val="99"/>
    <w:pPr>
      <w:tabs>
        <w:tab w:val="center" w:pos="4153"/>
        <w:tab w:val="right" w:pos="8306"/>
      </w:tabs>
    </w:pPr>
    <w:rPr>
      <w:sz w:val="18"/>
      <w:szCs w:val="18"/>
    </w:rPr>
  </w:style>
  <w:style w:type="paragraph" w:styleId="7">
    <w:name w:val="header"/>
    <w:basedOn w:val="1"/>
    <w:link w:val="19"/>
    <w:unhideWhenUsed/>
    <w:qFormat/>
    <w:uiPriority w:val="99"/>
    <w:pPr>
      <w:pBdr>
        <w:bottom w:val="single" w:color="auto" w:sz="6" w:space="1"/>
      </w:pBdr>
      <w:tabs>
        <w:tab w:val="center" w:pos="4153"/>
        <w:tab w:val="right" w:pos="8306"/>
      </w:tabs>
      <w:jc w:val="center"/>
    </w:pPr>
    <w:rPr>
      <w:sz w:val="18"/>
      <w:szCs w:val="18"/>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1">
    <w:name w:val="标题 2 Char"/>
    <w:basedOn w:val="10"/>
    <w:link w:val="2"/>
    <w:qFormat/>
    <w:uiPriority w:val="0"/>
    <w:rPr>
      <w:rFonts w:ascii="Arial" w:hAnsi="Arial" w:eastAsia="黑体" w:cs="Times New Roman"/>
      <w:bCs/>
      <w:sz w:val="32"/>
      <w:szCs w:val="32"/>
    </w:rPr>
  </w:style>
  <w:style w:type="character" w:customStyle="1" w:styleId="12">
    <w:name w:val="正文格式 Char"/>
    <w:link w:val="13"/>
    <w:qFormat/>
    <w:uiPriority w:val="0"/>
    <w:rPr>
      <w:szCs w:val="24"/>
    </w:rPr>
  </w:style>
  <w:style w:type="paragraph" w:customStyle="1" w:styleId="13">
    <w:name w:val="正文格式"/>
    <w:basedOn w:val="1"/>
    <w:link w:val="12"/>
    <w:qFormat/>
    <w:uiPriority w:val="0"/>
    <w:pPr>
      <w:widowControl w:val="0"/>
      <w:adjustRightInd/>
      <w:snapToGrid/>
      <w:spacing w:after="0"/>
      <w:ind w:firstLine="420"/>
      <w:jc w:val="both"/>
    </w:pPr>
    <w:rPr>
      <w:rFonts w:asciiTheme="minorHAnsi" w:hAnsiTheme="minorHAnsi" w:eastAsiaTheme="minorEastAsia"/>
      <w:kern w:val="2"/>
      <w:sz w:val="21"/>
      <w:szCs w:val="24"/>
    </w:rPr>
  </w:style>
  <w:style w:type="paragraph" w:customStyle="1" w:styleId="14">
    <w:name w:val="Table Paragraph"/>
    <w:basedOn w:val="1"/>
    <w:qFormat/>
    <w:uiPriority w:val="1"/>
    <w:pPr>
      <w:widowControl w:val="0"/>
      <w:autoSpaceDE w:val="0"/>
      <w:autoSpaceDN w:val="0"/>
      <w:adjustRightInd/>
      <w:snapToGrid/>
      <w:spacing w:after="0"/>
      <w:jc w:val="center"/>
    </w:pPr>
    <w:rPr>
      <w:rFonts w:ascii="宋体" w:hAnsi="宋体" w:eastAsia="宋体" w:cs="宋体"/>
      <w:lang w:val="zh-CN" w:bidi="zh-CN"/>
    </w:rPr>
  </w:style>
  <w:style w:type="character" w:customStyle="1" w:styleId="15">
    <w:name w:val="正文缩进 Char"/>
    <w:link w:val="4"/>
    <w:qFormat/>
    <w:uiPriority w:val="0"/>
    <w:rPr>
      <w:rFonts w:ascii="Times New Roman" w:hAnsi="Times New Roman" w:eastAsia="宋体" w:cs="Times New Roman"/>
      <w:szCs w:val="20"/>
    </w:rPr>
  </w:style>
  <w:style w:type="character" w:customStyle="1" w:styleId="16">
    <w:name w:val="标题 3 Char"/>
    <w:basedOn w:val="10"/>
    <w:link w:val="3"/>
    <w:uiPriority w:val="9"/>
    <w:rPr>
      <w:rFonts w:ascii="Tahoma" w:hAnsi="Tahoma" w:eastAsia="黑体"/>
      <w:bCs/>
      <w:kern w:val="0"/>
      <w:sz w:val="32"/>
      <w:szCs w:val="32"/>
    </w:rPr>
  </w:style>
  <w:style w:type="character" w:customStyle="1" w:styleId="17">
    <w:name w:val="批注框文本 Char"/>
    <w:basedOn w:val="10"/>
    <w:link w:val="5"/>
    <w:semiHidden/>
    <w:uiPriority w:val="99"/>
    <w:rPr>
      <w:rFonts w:ascii="Tahoma" w:hAnsi="Tahoma" w:eastAsia="微软雅黑"/>
      <w:kern w:val="0"/>
      <w:sz w:val="18"/>
      <w:szCs w:val="18"/>
    </w:rPr>
  </w:style>
  <w:style w:type="paragraph" w:customStyle="1" w:styleId="18">
    <w:name w:val="Char Char Char Char"/>
    <w:basedOn w:val="1"/>
    <w:uiPriority w:val="0"/>
    <w:pPr>
      <w:adjustRightInd/>
      <w:snapToGrid/>
      <w:spacing w:after="160" w:line="240" w:lineRule="exact"/>
    </w:pPr>
    <w:rPr>
      <w:rFonts w:ascii="Times New Roman" w:hAnsi="Times New Roman" w:eastAsia="宋体" w:cs="Times New Roman"/>
      <w:kern w:val="2"/>
      <w:sz w:val="21"/>
      <w:szCs w:val="24"/>
    </w:rPr>
  </w:style>
  <w:style w:type="character" w:customStyle="1" w:styleId="19">
    <w:name w:val="页眉 Char"/>
    <w:basedOn w:val="10"/>
    <w:link w:val="7"/>
    <w:qFormat/>
    <w:uiPriority w:val="99"/>
    <w:rPr>
      <w:rFonts w:ascii="Tahoma" w:hAnsi="Tahoma" w:eastAsia="微软雅黑"/>
      <w:kern w:val="0"/>
      <w:sz w:val="18"/>
      <w:szCs w:val="18"/>
    </w:rPr>
  </w:style>
  <w:style w:type="character" w:customStyle="1" w:styleId="20">
    <w:name w:val="页脚 Char"/>
    <w:basedOn w:val="10"/>
    <w:link w:val="6"/>
    <w:qFormat/>
    <w:uiPriority w:val="99"/>
    <w:rPr>
      <w:rFonts w:ascii="Tahoma" w:hAnsi="Tahoma" w:eastAsia="微软雅黑"/>
      <w:kern w:val="0"/>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7AF3D95-B13F-406B-8436-478DE81DE64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6</Pages>
  <Words>296</Words>
  <Characters>1692</Characters>
  <Lines>14</Lines>
  <Paragraphs>3</Paragraphs>
  <TotalTime>4</TotalTime>
  <ScaleCrop>false</ScaleCrop>
  <LinksUpToDate>false</LinksUpToDate>
  <CharactersWithSpaces>1985</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2021-11-02T08:36:00Z</dcterms:created>
  <dc:creator>夏丰良</dc:creator>
  <cp:lastModifiedBy>YC</cp:lastModifiedBy>
  <cp:lastPrinted>2021-07-22T08:46:00Z</cp:lastPrinted>
  <dcterms:modified xsi:type="dcterms:W3CDTF">2021-11-03T08:20:26Z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ICV">
    <vt:lpwstr>77F90F3DA1F74510B1D282022704AC5B</vt:lpwstr>
  </property>
</Properties>
</file>