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0" w:name="_Toc5979743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4</w:t>
      </w:r>
    </w:p>
    <w:p>
      <w:pPr>
        <w:spacing w:after="120" w:afterLines="50"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年度各区城市更新“十三五”规划考核任务规模安排表</w:t>
      </w:r>
      <w:bookmarkEnd w:id="0"/>
    </w:p>
    <w:tbl>
      <w:tblPr>
        <w:tblStyle w:val="2"/>
        <w:tblW w:w="13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644"/>
        <w:gridCol w:w="658"/>
        <w:gridCol w:w="644"/>
        <w:gridCol w:w="1469"/>
        <w:gridCol w:w="658"/>
        <w:gridCol w:w="672"/>
        <w:gridCol w:w="644"/>
        <w:gridCol w:w="630"/>
        <w:gridCol w:w="644"/>
        <w:gridCol w:w="630"/>
        <w:gridCol w:w="825"/>
        <w:gridCol w:w="994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福田区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罗湖区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南山区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盐田区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宝安区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龙岗区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龙华区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坪山区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光明区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大鹏新区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前海合作区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城市更新单元计划（公顷）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“工改</w:t>
            </w:r>
            <w:r>
              <w:rPr>
                <w:rFonts w:ascii="宋体" w:hAnsi="宋体"/>
                <w:sz w:val="18"/>
                <w:szCs w:val="18"/>
              </w:rPr>
              <w:t>M0</w:t>
            </w:r>
            <w:r>
              <w:rPr>
                <w:rFonts w:hint="eastAsia" w:ascii="宋体" w:hAnsi="宋体"/>
                <w:sz w:val="18"/>
                <w:szCs w:val="18"/>
              </w:rPr>
              <w:t>”类城市更新单元计划用地规模（公顷）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（不含高新区范围内新增“工改</w:t>
            </w:r>
            <w:r>
              <w:rPr>
                <w:rFonts w:ascii="宋体" w:hAnsi="宋体"/>
                <w:sz w:val="18"/>
                <w:szCs w:val="18"/>
              </w:rPr>
              <w:t>M0</w:t>
            </w:r>
            <w:r>
              <w:rPr>
                <w:rFonts w:hint="eastAsia" w:ascii="宋体" w:hAnsi="宋体"/>
                <w:sz w:val="18"/>
                <w:szCs w:val="18"/>
              </w:rPr>
              <w:t>”计划规模）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4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人才住房、安居型商品房和公共租赁住房规划配建规模（套）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5180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10400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5000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创新型产业用房配建规模（万平方米）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独立占地公共配套设施配建规模（个）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0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rPr>
                <w:rFonts w:ascii="宋体" w:hAnsi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非独立占地公共配套设施配建规模（万平方米）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下限值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469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67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630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825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－</w:t>
            </w:r>
          </w:p>
        </w:tc>
        <w:tc>
          <w:tcPr>
            <w:tcW w:w="552" w:type="dxa"/>
            <w:noWrap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</w:tr>
    </w:tbl>
    <w:p>
      <w:pPr>
        <w:spacing w:before="48" w:beforeLines="20" w:line="240" w:lineRule="exact"/>
        <w:ind w:left="720" w:hanging="720" w:hangingChars="40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备注：1．“原则上“工改M0”类城市更新单元计划用地规模不应超过上限值要求，因项目推进原因导致超过的，应保证“十三五”期间新增总量不超过各区城市更新“十三五”规划确定的规模。”</w:t>
      </w:r>
    </w:p>
    <w:p>
      <w:pPr>
        <w:spacing w:line="240" w:lineRule="exact"/>
        <w:ind w:left="812" w:leftChars="258" w:hanging="270" w:hangingChars="15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2．上述独立占地的公共配套设施包括中小学、综合医院、幼儿园、公交场站（含公交首末站）、变电站、消防站、雨水泵站、邮政和通信设施。以上设施为附设的且功能完整的，可纳入本计划统计。</w:t>
      </w:r>
    </w:p>
    <w:p>
      <w:pPr>
        <w:spacing w:line="240" w:lineRule="exact"/>
        <w:ind w:left="812" w:leftChars="258" w:hanging="270" w:hangingChars="150"/>
        <w:rPr>
          <w:rFonts w:hint="eastAsia"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3．非独立占地的公共配套设施包括社区警务室、社区管理用房、社区服务中心、文化活动室、社区健康服务中心、社区老年人日间照料中心、小型垃圾转运站、再生资源回收站、公共厕所、环卫工人作息房等。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20115"/>
    <w:rsid w:val="15B2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2019-08-05T03:22:00Z</dcterms:created>
  <dc:creator>？？？</dc:creator>
  <cp:lastModifiedBy>？？？</cp:lastModifiedBy>
  <dcterms:modified xsi:type="dcterms:W3CDTF">2019-08-05T03:23:28Z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