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附件2</w:t>
      </w:r>
    </w:p>
    <w:p>
      <w:pPr>
        <w:spacing w:line="0" w:lineRule="atLeast"/>
        <w:jc w:val="center"/>
        <w:rPr>
          <w:rFonts w:hint="eastAsia" w:ascii="宋体" w:hAnsi="宋体"/>
          <w:sz w:val="36"/>
          <w:szCs w:val="36"/>
        </w:rPr>
      </w:pPr>
      <w:bookmarkStart w:id="0" w:name="_GoBack"/>
      <w:r>
        <w:rPr>
          <w:rFonts w:hint="eastAsia" w:ascii="宋体" w:hAnsi="宋体"/>
          <w:sz w:val="36"/>
          <w:szCs w:val="36"/>
        </w:rPr>
        <w:t>船舶可豁免或免责的情形</w:t>
      </w:r>
    </w:p>
    <w:bookmarkEnd w:id="0"/>
    <w:p>
      <w:pPr>
        <w:spacing w:before="120" w:beforeLines="50" w:line="396" w:lineRule="atLeast"/>
        <w:ind w:firstLine="480" w:firstLineChars="200"/>
        <w:rPr>
          <w:rFonts w:hint="eastAsia" w:ascii="黑体" w:hAnsi="宋体" w:eastAsia="黑体"/>
          <w:sz w:val="24"/>
          <w:szCs w:val="24"/>
        </w:rPr>
      </w:pPr>
      <w:r>
        <w:rPr>
          <w:rFonts w:hint="eastAsia" w:ascii="黑体" w:hAnsi="宋体" w:eastAsia="黑体"/>
          <w:sz w:val="24"/>
          <w:szCs w:val="24"/>
        </w:rPr>
        <w:t>一、豁免</w:t>
      </w:r>
    </w:p>
    <w:p>
      <w:pPr>
        <w:spacing w:line="400" w:lineRule="atLeast"/>
        <w:ind w:firstLine="480" w:firstLineChars="200"/>
        <w:rPr>
          <w:rFonts w:hint="eastAsia" w:ascii="宋体" w:hAnsi="宋体"/>
          <w:sz w:val="24"/>
          <w:szCs w:val="24"/>
        </w:rPr>
      </w:pPr>
      <w:r>
        <w:rPr>
          <w:rFonts w:hint="eastAsia" w:ascii="宋体" w:hAnsi="宋体"/>
          <w:sz w:val="24"/>
          <w:szCs w:val="24"/>
        </w:rPr>
        <w:t>由于以下3种情形之一导致船舶进入中国沿海排放控制区无法执行《深圳市交通运输局 深圳市生态环境局 深圳海事局关于实施船舶大气污染物排放控制区的通告》要求的，船方可事先提出豁免。提出豁免的船舶，应由其所属公司或代理人事先向深圳海事局提出豁免请求，并提交充分的证明材料。经海事局核查属实后，可予以豁免：</w:t>
      </w:r>
    </w:p>
    <w:p>
      <w:pPr>
        <w:spacing w:line="400" w:lineRule="atLeast"/>
        <w:ind w:firstLine="480" w:firstLineChars="200"/>
        <w:rPr>
          <w:rFonts w:hint="eastAsia" w:ascii="宋体" w:hAnsi="宋体"/>
          <w:sz w:val="24"/>
          <w:szCs w:val="24"/>
        </w:rPr>
      </w:pPr>
      <w:r>
        <w:rPr>
          <w:rFonts w:hint="eastAsia" w:ascii="宋体" w:hAnsi="宋体"/>
          <w:sz w:val="24"/>
          <w:szCs w:val="24"/>
        </w:rPr>
        <w:t>（一）船方能提供充分的证据，表明其已作出一切应尽的努力，但还是未能获得低硫燃油的。</w:t>
      </w:r>
    </w:p>
    <w:p>
      <w:pPr>
        <w:spacing w:line="400" w:lineRule="atLeast"/>
        <w:ind w:firstLine="480" w:firstLineChars="200"/>
        <w:rPr>
          <w:rFonts w:hint="eastAsia" w:ascii="宋体" w:hAnsi="宋体"/>
          <w:sz w:val="24"/>
          <w:szCs w:val="24"/>
        </w:rPr>
      </w:pPr>
      <w:r>
        <w:rPr>
          <w:rFonts w:hint="eastAsia" w:ascii="宋体" w:hAnsi="宋体"/>
          <w:sz w:val="24"/>
          <w:szCs w:val="24"/>
        </w:rPr>
        <w:t>（二）船方能提供充分的证据，表明船舶需要进行改造才可使用低硫燃油，并确保能在2019年12月31日前完成改造。</w:t>
      </w:r>
    </w:p>
    <w:p>
      <w:pPr>
        <w:spacing w:line="400" w:lineRule="atLeast"/>
        <w:ind w:firstLine="480" w:firstLineChars="200"/>
        <w:rPr>
          <w:rFonts w:hint="eastAsia" w:ascii="宋体" w:hAnsi="宋体"/>
          <w:sz w:val="24"/>
          <w:szCs w:val="24"/>
        </w:rPr>
      </w:pPr>
      <w:r>
        <w:rPr>
          <w:rFonts w:hint="eastAsia" w:ascii="宋体" w:hAnsi="宋体"/>
          <w:sz w:val="24"/>
          <w:szCs w:val="24"/>
        </w:rPr>
        <w:t>（三）船方能提供充分的证据，表明船舶在进入我国沿海水域排放控制区期间如使用低硫燃油会对船舶安全造成危险。</w:t>
      </w:r>
    </w:p>
    <w:p>
      <w:pPr>
        <w:spacing w:line="400" w:lineRule="atLeast"/>
        <w:ind w:firstLine="480" w:firstLineChars="200"/>
        <w:rPr>
          <w:rFonts w:hint="eastAsia" w:ascii="宋体" w:hAnsi="宋体"/>
          <w:sz w:val="24"/>
          <w:szCs w:val="24"/>
        </w:rPr>
      </w:pPr>
      <w:r>
        <w:rPr>
          <w:rFonts w:hint="eastAsia" w:ascii="宋体" w:hAnsi="宋体"/>
          <w:sz w:val="24"/>
          <w:szCs w:val="24"/>
        </w:rPr>
        <w:t>（四）具有船舶岸电系统船载装置的现有船舶能提供充分的证据，表明船舶在靠港期间无法连接岸电的。</w:t>
      </w:r>
    </w:p>
    <w:p>
      <w:pPr>
        <w:spacing w:line="400" w:lineRule="atLeast"/>
        <w:ind w:firstLine="480" w:firstLineChars="200"/>
        <w:rPr>
          <w:rFonts w:hint="eastAsia" w:ascii="宋体" w:hAnsi="宋体"/>
          <w:sz w:val="24"/>
          <w:szCs w:val="24"/>
        </w:rPr>
      </w:pPr>
      <w:r>
        <w:rPr>
          <w:rFonts w:hint="eastAsia" w:ascii="宋体" w:hAnsi="宋体"/>
          <w:sz w:val="24"/>
          <w:szCs w:val="24"/>
        </w:rPr>
        <w:t>（五）具有船舶岸电系统船载装置的现有船舶能提供充分的证据，表明船舶在连接岸电过程会对船舶安全造成危险。</w:t>
      </w:r>
    </w:p>
    <w:p>
      <w:pPr>
        <w:spacing w:line="400" w:lineRule="atLeast"/>
        <w:ind w:firstLine="480" w:firstLineChars="200"/>
        <w:rPr>
          <w:rFonts w:hint="eastAsia" w:ascii="黑体" w:hAnsi="宋体" w:eastAsia="黑体"/>
          <w:sz w:val="24"/>
          <w:szCs w:val="24"/>
        </w:rPr>
      </w:pPr>
      <w:r>
        <w:rPr>
          <w:rFonts w:hint="eastAsia" w:ascii="黑体" w:hAnsi="宋体" w:eastAsia="黑体"/>
          <w:sz w:val="24"/>
          <w:szCs w:val="24"/>
        </w:rPr>
        <w:t>二、免责</w:t>
      </w:r>
    </w:p>
    <w:p>
      <w:pPr>
        <w:spacing w:line="400" w:lineRule="atLeast"/>
        <w:ind w:firstLine="480" w:firstLineChars="200"/>
        <w:rPr>
          <w:rFonts w:hint="eastAsia" w:ascii="宋体" w:hAnsi="宋体"/>
          <w:sz w:val="24"/>
          <w:szCs w:val="24"/>
        </w:rPr>
      </w:pPr>
      <w:r>
        <w:rPr>
          <w:rFonts w:hint="eastAsia" w:ascii="宋体" w:hAnsi="宋体"/>
          <w:sz w:val="24"/>
          <w:szCs w:val="24"/>
        </w:rPr>
        <w:t>船方能提供充分的证据，表明发生了不可抗力或其他紧急情况，不能在进入沿海排放控制区期间使用符合标准或要求的低硫燃油，应立即通过高频、电话等方式向海事局提出，并在事后补齐书面材料。经海事局核查属实后，可予以免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A0E96"/>
    <w:rsid w:val="74EA0E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2019-03-26T06:46:00Z</dcterms:created>
  <dc:creator>琉璃</dc:creator>
  <cp:lastModifiedBy>琉璃</cp:lastModifiedBy>
  <dcterms:modified xsi:type="dcterms:W3CDTF">2019-03-26T06:46:49Z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