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bookmarkStart w:id="0" w:name="_GoBack"/>
      <w:r>
        <w:rPr>
          <w:rFonts w:hint="eastAsia" w:ascii="宋体" w:hAnsi="宋体"/>
          <w:sz w:val="36"/>
          <w:szCs w:val="36"/>
        </w:rPr>
        <w:t>低硫燃油使用补贴申报指南</w:t>
      </w:r>
    </w:p>
    <w:bookmarkEnd w:id="0"/>
    <w:p>
      <w:pPr>
        <w:spacing w:before="120" w:beforeLines="50" w:line="396" w:lineRule="atLeast"/>
        <w:ind w:firstLine="480" w:firstLineChars="200"/>
        <w:rPr>
          <w:rFonts w:hint="eastAsia" w:ascii="宋体" w:hAnsi="宋体"/>
          <w:sz w:val="24"/>
          <w:szCs w:val="24"/>
        </w:rPr>
      </w:pPr>
      <w:r>
        <w:rPr>
          <w:rFonts w:hint="eastAsia" w:ascii="宋体" w:hAnsi="宋体"/>
          <w:sz w:val="24"/>
          <w:szCs w:val="24"/>
        </w:rPr>
        <w:t>根据《深圳市人民政府办公厅关于印发2018年“深圳蓝”可持续行动计划的通知》（深府办规〔2018〕6号）的要求，对于使用高硫燃油的靠泊深圳港的船舶，在进入中国沿海排放控制区转用硫含量≤0.1%m/m的低硫燃油的，给予相应补贴。具体申报指南如下：</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一、申请的受理和审核机构</w:t>
      </w:r>
    </w:p>
    <w:p>
      <w:pPr>
        <w:spacing w:line="400" w:lineRule="atLeast"/>
        <w:ind w:firstLine="480" w:firstLineChars="200"/>
        <w:rPr>
          <w:rFonts w:hint="eastAsia" w:ascii="宋体" w:hAnsi="宋体"/>
          <w:sz w:val="24"/>
          <w:szCs w:val="24"/>
        </w:rPr>
      </w:pPr>
      <w:r>
        <w:rPr>
          <w:rFonts w:hint="eastAsia" w:ascii="宋体" w:hAnsi="宋体"/>
          <w:sz w:val="24"/>
          <w:szCs w:val="24"/>
        </w:rPr>
        <w:t>深圳市交通运输局负责补贴资金的申请受理、审核和发放工作。</w:t>
      </w:r>
    </w:p>
    <w:p>
      <w:pPr>
        <w:spacing w:line="400" w:lineRule="atLeast"/>
        <w:ind w:firstLine="480" w:firstLineChars="200"/>
        <w:rPr>
          <w:rFonts w:hint="eastAsia" w:ascii="宋体" w:hAnsi="宋体"/>
          <w:sz w:val="24"/>
          <w:szCs w:val="24"/>
        </w:rPr>
      </w:pPr>
      <w:r>
        <w:rPr>
          <w:rFonts w:hint="eastAsia" w:ascii="宋体" w:hAnsi="宋体"/>
          <w:sz w:val="24"/>
          <w:szCs w:val="24"/>
        </w:rPr>
        <w:t>深圳海事局会同深圳市生态环境局开展低硫燃油使用情况的现场监督检查工作。</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二、申请方式</w:t>
      </w:r>
    </w:p>
    <w:p>
      <w:pPr>
        <w:spacing w:line="400" w:lineRule="atLeast"/>
        <w:ind w:firstLine="480" w:firstLineChars="200"/>
        <w:rPr>
          <w:rFonts w:hint="eastAsia" w:ascii="宋体" w:hAnsi="宋体"/>
          <w:sz w:val="24"/>
          <w:szCs w:val="24"/>
        </w:rPr>
      </w:pPr>
      <w:r>
        <w:rPr>
          <w:rFonts w:hint="eastAsia" w:ascii="宋体" w:hAnsi="宋体"/>
          <w:sz w:val="24"/>
          <w:szCs w:val="24"/>
        </w:rPr>
        <w:t>申请人须通过深圳市绿色低碳港口建设补贴资金申报系统（以下简称补贴申报系统）进行补贴申报，具体网址：http://port.cmclink.com/index.jsp。</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三、补贴申请流程</w:t>
      </w:r>
    </w:p>
    <w:p>
      <w:pPr>
        <w:spacing w:line="400" w:lineRule="atLeast"/>
        <w:ind w:firstLine="480" w:firstLineChars="200"/>
        <w:rPr>
          <w:rFonts w:hint="eastAsia" w:ascii="宋体" w:hAnsi="宋体"/>
          <w:sz w:val="24"/>
          <w:szCs w:val="24"/>
        </w:rPr>
      </w:pPr>
      <w:r>
        <w:rPr>
          <w:rFonts w:hint="eastAsia" w:ascii="宋体" w:hAnsi="宋体"/>
          <w:sz w:val="24"/>
          <w:szCs w:val="24"/>
        </w:rPr>
        <w:t>（一）低硫油补贴申请条件。</w:t>
      </w:r>
    </w:p>
    <w:p>
      <w:pPr>
        <w:spacing w:line="400" w:lineRule="atLeast"/>
        <w:ind w:firstLine="480" w:firstLineChars="200"/>
        <w:rPr>
          <w:rFonts w:hint="eastAsia" w:ascii="宋体" w:hAnsi="宋体"/>
          <w:sz w:val="24"/>
          <w:szCs w:val="24"/>
        </w:rPr>
      </w:pPr>
      <w:r>
        <w:rPr>
          <w:rFonts w:hint="eastAsia" w:ascii="宋体" w:hAnsi="宋体"/>
          <w:sz w:val="24"/>
          <w:szCs w:val="24"/>
        </w:rPr>
        <w:t>1．航运企业已加入《深圳港绿色公约》；</w:t>
      </w:r>
    </w:p>
    <w:p>
      <w:pPr>
        <w:spacing w:line="400" w:lineRule="atLeast"/>
        <w:ind w:firstLine="480" w:firstLineChars="200"/>
        <w:rPr>
          <w:rFonts w:hint="eastAsia" w:ascii="宋体" w:hAnsi="宋体"/>
          <w:sz w:val="24"/>
          <w:szCs w:val="24"/>
        </w:rPr>
      </w:pPr>
      <w:r>
        <w:rPr>
          <w:rFonts w:hint="eastAsia" w:ascii="宋体" w:hAnsi="宋体"/>
          <w:sz w:val="24"/>
          <w:szCs w:val="24"/>
        </w:rPr>
        <w:t>2．航运企业相关船舶已签署承诺书，承诺每次靠泊深圳港时，进入沿海排放控制区均使用硫含量≤0.1%m/m的低硫燃油；</w:t>
      </w:r>
    </w:p>
    <w:p>
      <w:pPr>
        <w:spacing w:line="400" w:lineRule="atLeast"/>
        <w:ind w:firstLine="480" w:firstLineChars="200"/>
        <w:rPr>
          <w:rFonts w:hint="eastAsia" w:ascii="宋体" w:hAnsi="宋体"/>
          <w:sz w:val="24"/>
          <w:szCs w:val="24"/>
        </w:rPr>
      </w:pPr>
      <w:r>
        <w:rPr>
          <w:rFonts w:hint="eastAsia" w:ascii="宋体" w:hAnsi="宋体"/>
          <w:sz w:val="24"/>
          <w:szCs w:val="24"/>
        </w:rPr>
        <w:t>3．相关船舶已在“深圳市绿色低碳港口建设补贴资金申报系统”进行备案；</w:t>
      </w:r>
    </w:p>
    <w:p>
      <w:pPr>
        <w:spacing w:line="400" w:lineRule="atLeast"/>
        <w:ind w:firstLine="480" w:firstLineChars="200"/>
        <w:rPr>
          <w:rFonts w:hint="eastAsia" w:ascii="宋体" w:hAnsi="宋体"/>
          <w:spacing w:val="-3"/>
          <w:sz w:val="24"/>
          <w:szCs w:val="24"/>
        </w:rPr>
      </w:pPr>
      <w:r>
        <w:rPr>
          <w:rFonts w:hint="eastAsia" w:ascii="宋体" w:hAnsi="宋体"/>
          <w:sz w:val="24"/>
          <w:szCs w:val="24"/>
        </w:rPr>
        <w:t>4</w:t>
      </w:r>
      <w:r>
        <w:rPr>
          <w:rFonts w:hint="eastAsia" w:ascii="宋体" w:hAnsi="宋体"/>
          <w:spacing w:val="-3"/>
          <w:sz w:val="24"/>
          <w:szCs w:val="24"/>
        </w:rPr>
        <w:t>．相</w:t>
      </w:r>
      <w:r>
        <w:rPr>
          <w:rFonts w:hint="eastAsia" w:ascii="宋体" w:hAnsi="宋体"/>
          <w:sz w:val="24"/>
          <w:szCs w:val="24"/>
        </w:rPr>
        <w:t>关船舶在进入沿海排放控制区时，全程使用硫含</w:t>
      </w:r>
      <w:r>
        <w:rPr>
          <w:rFonts w:hint="eastAsia" w:ascii="宋体" w:hAnsi="宋体"/>
          <w:spacing w:val="-3"/>
          <w:sz w:val="24"/>
          <w:szCs w:val="24"/>
        </w:rPr>
        <w:t>量≤0.1%m/m的低硫燃油。</w:t>
      </w:r>
    </w:p>
    <w:p>
      <w:pPr>
        <w:spacing w:line="400" w:lineRule="atLeast"/>
        <w:ind w:firstLine="480" w:firstLineChars="200"/>
        <w:rPr>
          <w:rFonts w:hint="eastAsia" w:ascii="宋体" w:hAnsi="宋体"/>
          <w:sz w:val="24"/>
          <w:szCs w:val="24"/>
        </w:rPr>
      </w:pPr>
      <w:r>
        <w:rPr>
          <w:rFonts w:hint="eastAsia" w:ascii="宋体" w:hAnsi="宋体"/>
          <w:sz w:val="24"/>
          <w:szCs w:val="24"/>
        </w:rPr>
        <w:t>（二）低硫油补贴标准。</w:t>
      </w:r>
    </w:p>
    <w:p>
      <w:pPr>
        <w:spacing w:line="400" w:lineRule="atLeast"/>
        <w:ind w:firstLine="480" w:firstLineChars="200"/>
        <w:rPr>
          <w:rFonts w:hint="eastAsia" w:ascii="宋体" w:hAnsi="宋体"/>
          <w:sz w:val="24"/>
          <w:szCs w:val="24"/>
        </w:rPr>
      </w:pPr>
      <w:r>
        <w:rPr>
          <w:rFonts w:hint="eastAsia" w:ascii="宋体" w:hAnsi="宋体"/>
          <w:sz w:val="24"/>
          <w:szCs w:val="24"/>
        </w:rPr>
        <w:t>补贴船舶在沿海排放控制区航行期间所用硫含量≤0.1%m/m的低硫燃油和硫含量≤0.5%m/m的低硫燃油的差价，按照船舶净吨确定补贴金额，具体如下表：</w:t>
      </w:r>
    </w:p>
    <w:p>
      <w:pPr>
        <w:spacing w:before="120" w:beforeLines="50" w:after="120" w:afterLines="50" w:line="400" w:lineRule="atLeast"/>
        <w:jc w:val="center"/>
        <w:rPr>
          <w:rFonts w:hint="eastAsia" w:ascii="黑体" w:hAnsi="宋体" w:eastAsia="黑体"/>
          <w:sz w:val="24"/>
          <w:szCs w:val="24"/>
        </w:rPr>
      </w:pPr>
      <w:r>
        <w:rPr>
          <w:rFonts w:hint="eastAsia" w:ascii="黑体" w:hAnsi="宋体" w:eastAsia="黑体"/>
          <w:sz w:val="24"/>
          <w:szCs w:val="24"/>
        </w:rPr>
        <w:t>低硫油补贴金额表</w:t>
      </w:r>
    </w:p>
    <w:tbl>
      <w:tblPr>
        <w:tblStyle w:val="3"/>
        <w:tblW w:w="8932"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096"/>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hint="eastAsia" w:ascii="黑体" w:hAnsi="宋体" w:eastAsia="黑体"/>
                <w:color w:val="000000"/>
                <w:kern w:val="0"/>
                <w:szCs w:val="21"/>
              </w:rPr>
            </w:pPr>
            <w:r>
              <w:rPr>
                <w:rFonts w:hint="eastAsia" w:ascii="黑体" w:hAnsi="宋体" w:eastAsia="黑体"/>
                <w:color w:val="000000"/>
                <w:kern w:val="0"/>
                <w:szCs w:val="21"/>
              </w:rPr>
              <w:t>序号</w:t>
            </w:r>
          </w:p>
        </w:tc>
        <w:tc>
          <w:tcPr>
            <w:tcW w:w="4096" w:type="dxa"/>
            <w:noWrap w:val="0"/>
            <w:vAlign w:val="center"/>
          </w:tcPr>
          <w:p>
            <w:pPr>
              <w:spacing w:line="280" w:lineRule="exact"/>
              <w:jc w:val="center"/>
              <w:rPr>
                <w:rFonts w:hint="eastAsia" w:ascii="黑体" w:hAnsi="宋体" w:eastAsia="黑体"/>
                <w:color w:val="000000"/>
                <w:kern w:val="0"/>
                <w:szCs w:val="21"/>
              </w:rPr>
            </w:pPr>
            <w:r>
              <w:rPr>
                <w:rFonts w:hint="eastAsia" w:ascii="黑体" w:hAnsi="宋体" w:eastAsia="黑体"/>
                <w:color w:val="000000"/>
                <w:kern w:val="0"/>
                <w:szCs w:val="21"/>
              </w:rPr>
              <w:t>平均净吨（</w:t>
            </w:r>
            <w:r>
              <w:rPr>
                <w:rFonts w:hint="eastAsia" w:ascii="黑体" w:hAnsi="宋体" w:eastAsia="黑体"/>
                <w:szCs w:val="21"/>
              </w:rPr>
              <w:t>NT</w:t>
            </w:r>
            <w:r>
              <w:rPr>
                <w:rFonts w:hint="eastAsia" w:ascii="黑体" w:hAnsi="宋体" w:eastAsia="黑体"/>
                <w:color w:val="000000"/>
                <w:kern w:val="0"/>
                <w:szCs w:val="21"/>
              </w:rPr>
              <w:t>）</w:t>
            </w:r>
          </w:p>
        </w:tc>
        <w:tc>
          <w:tcPr>
            <w:tcW w:w="4096" w:type="dxa"/>
            <w:noWrap w:val="0"/>
            <w:vAlign w:val="center"/>
          </w:tcPr>
          <w:p>
            <w:pPr>
              <w:spacing w:line="280" w:lineRule="exact"/>
              <w:jc w:val="center"/>
              <w:rPr>
                <w:rFonts w:hint="eastAsia" w:ascii="黑体" w:hAnsi="宋体" w:eastAsia="黑体"/>
                <w:color w:val="000000"/>
                <w:kern w:val="0"/>
                <w:szCs w:val="21"/>
              </w:rPr>
            </w:pPr>
            <w:r>
              <w:rPr>
                <w:rFonts w:hint="eastAsia" w:ascii="黑体" w:hAnsi="宋体" w:eastAsia="黑体"/>
                <w:color w:val="000000"/>
                <w:kern w:val="0"/>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1</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≤9999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2</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10000－19999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3</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20000－29999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4</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30000－</w:t>
            </w:r>
            <w:r>
              <w:rPr>
                <w:rFonts w:hint="eastAsia" w:ascii="宋体" w:hAnsi="宋体"/>
                <w:color w:val="000000"/>
                <w:szCs w:val="21"/>
              </w:rPr>
              <w:t>39999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5</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4000</w:t>
            </w:r>
            <w:r>
              <w:rPr>
                <w:rFonts w:hint="eastAsia" w:ascii="宋体" w:hAnsi="宋体"/>
                <w:color w:val="000000"/>
                <w:szCs w:val="21"/>
              </w:rPr>
              <w:t>0</w:t>
            </w:r>
            <w:r>
              <w:rPr>
                <w:rFonts w:ascii="宋体" w:hAnsi="宋体"/>
                <w:color w:val="000000"/>
                <w:szCs w:val="21"/>
              </w:rPr>
              <w:t>－48999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6</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49000－57999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7</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58000－66999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8</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67000－75999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ascii="宋体" w:hAnsi="宋体"/>
                <w:color w:val="000000"/>
                <w:szCs w:val="21"/>
              </w:rPr>
              <w:t>9</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76000</w:t>
            </w:r>
            <w:r>
              <w:rPr>
                <w:rFonts w:hint="eastAsia" w:ascii="宋体" w:hAnsi="宋体"/>
                <w:color w:val="000000"/>
                <w:szCs w:val="21"/>
              </w:rPr>
              <w:t>－80000</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hint="eastAsia" w:ascii="宋体" w:hAnsi="宋体"/>
                <w:color w:val="000000"/>
                <w:szCs w:val="21"/>
              </w:rPr>
              <w:t>10</w:t>
            </w:r>
          </w:p>
        </w:tc>
        <w:tc>
          <w:tcPr>
            <w:tcW w:w="4096" w:type="dxa"/>
            <w:noWrap w:val="0"/>
            <w:vAlign w:val="center"/>
          </w:tcPr>
          <w:p>
            <w:pPr>
              <w:spacing w:line="280" w:lineRule="exact"/>
              <w:jc w:val="center"/>
              <w:rPr>
                <w:rFonts w:ascii="宋体" w:hAnsi="宋体"/>
                <w:color w:val="000000"/>
                <w:szCs w:val="21"/>
              </w:rPr>
            </w:pPr>
            <w:r>
              <w:rPr>
                <w:rFonts w:hint="eastAsia" w:ascii="宋体" w:hAnsi="宋体"/>
                <w:color w:val="000000"/>
                <w:szCs w:val="21"/>
              </w:rPr>
              <w:t>80001－120000</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3543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0" w:type="dxa"/>
            <w:noWrap w:val="0"/>
            <w:vAlign w:val="center"/>
          </w:tcPr>
          <w:p>
            <w:pPr>
              <w:spacing w:line="280" w:lineRule="exact"/>
              <w:jc w:val="center"/>
              <w:rPr>
                <w:rFonts w:ascii="宋体" w:hAnsi="宋体"/>
                <w:color w:val="000000"/>
                <w:szCs w:val="21"/>
              </w:rPr>
            </w:pPr>
            <w:r>
              <w:rPr>
                <w:rFonts w:hint="eastAsia" w:ascii="宋体" w:hAnsi="宋体"/>
                <w:color w:val="000000"/>
                <w:szCs w:val="21"/>
              </w:rPr>
              <w:t>11</w:t>
            </w:r>
          </w:p>
        </w:tc>
        <w:tc>
          <w:tcPr>
            <w:tcW w:w="4096" w:type="dxa"/>
            <w:noWrap w:val="0"/>
            <w:vAlign w:val="center"/>
          </w:tcPr>
          <w:p>
            <w:pPr>
              <w:spacing w:line="280" w:lineRule="exact"/>
              <w:jc w:val="center"/>
              <w:rPr>
                <w:rFonts w:ascii="宋体" w:hAnsi="宋体"/>
                <w:color w:val="000000"/>
                <w:szCs w:val="21"/>
              </w:rPr>
            </w:pPr>
            <w:r>
              <w:rPr>
                <w:rFonts w:hint="eastAsia" w:ascii="宋体" w:hAnsi="宋体"/>
                <w:color w:val="000000"/>
                <w:szCs w:val="21"/>
              </w:rPr>
              <w:t>120000吨以上</w:t>
            </w:r>
          </w:p>
        </w:tc>
        <w:tc>
          <w:tcPr>
            <w:tcW w:w="4096" w:type="dxa"/>
            <w:noWrap w:val="0"/>
            <w:vAlign w:val="center"/>
          </w:tcPr>
          <w:p>
            <w:pPr>
              <w:spacing w:line="280" w:lineRule="exact"/>
              <w:jc w:val="center"/>
              <w:rPr>
                <w:rFonts w:ascii="宋体" w:hAnsi="宋体"/>
                <w:color w:val="000000"/>
                <w:szCs w:val="21"/>
              </w:rPr>
            </w:pPr>
            <w:r>
              <w:rPr>
                <w:rFonts w:ascii="宋体" w:hAnsi="宋体"/>
                <w:color w:val="000000"/>
                <w:szCs w:val="21"/>
              </w:rPr>
              <w:t>4251</w:t>
            </w:r>
          </w:p>
        </w:tc>
      </w:tr>
    </w:tbl>
    <w:p>
      <w:pPr>
        <w:spacing w:before="120" w:beforeLines="50" w:line="396" w:lineRule="atLeast"/>
        <w:ind w:firstLine="480" w:firstLineChars="200"/>
        <w:rPr>
          <w:rFonts w:hint="eastAsia" w:ascii="宋体" w:hAnsi="宋体"/>
          <w:sz w:val="24"/>
          <w:szCs w:val="24"/>
        </w:rPr>
      </w:pPr>
      <w:r>
        <w:rPr>
          <w:rFonts w:hint="eastAsia" w:ascii="宋体" w:hAnsi="宋体"/>
          <w:sz w:val="24"/>
          <w:szCs w:val="24"/>
        </w:rPr>
        <w:t>（三）低硫油补贴应提交的材料。</w:t>
      </w:r>
    </w:p>
    <w:p>
      <w:pPr>
        <w:spacing w:line="396" w:lineRule="atLeast"/>
        <w:ind w:firstLine="480" w:firstLineChars="200"/>
        <w:rPr>
          <w:rFonts w:hint="eastAsia" w:ascii="宋体" w:hAnsi="宋体"/>
          <w:sz w:val="24"/>
          <w:szCs w:val="24"/>
        </w:rPr>
      </w:pPr>
      <w:r>
        <w:rPr>
          <w:rFonts w:hint="eastAsia" w:ascii="宋体" w:hAnsi="宋体"/>
          <w:sz w:val="24"/>
          <w:szCs w:val="24"/>
        </w:rPr>
        <w:t>申请人申请低硫油补贴的，应提交以下材料：</w:t>
      </w:r>
    </w:p>
    <w:p>
      <w:pPr>
        <w:spacing w:line="396" w:lineRule="atLeast"/>
        <w:ind w:firstLine="480" w:firstLineChars="200"/>
        <w:rPr>
          <w:rFonts w:hint="eastAsia" w:ascii="宋体" w:hAnsi="宋体"/>
          <w:sz w:val="24"/>
          <w:szCs w:val="24"/>
        </w:rPr>
      </w:pPr>
      <w:r>
        <w:rPr>
          <w:rFonts w:hint="eastAsia" w:ascii="宋体" w:hAnsi="宋体"/>
          <w:sz w:val="24"/>
          <w:szCs w:val="24"/>
        </w:rPr>
        <w:t>1．显示船舶转用低硫油情况的机舱日志（扫描件），须注明转油时间及地点；</w:t>
      </w:r>
    </w:p>
    <w:p>
      <w:pPr>
        <w:spacing w:line="396" w:lineRule="atLeast"/>
        <w:ind w:firstLine="480" w:firstLineChars="200"/>
        <w:rPr>
          <w:rFonts w:hint="eastAsia" w:ascii="宋体" w:hAnsi="宋体"/>
          <w:sz w:val="24"/>
          <w:szCs w:val="24"/>
        </w:rPr>
      </w:pPr>
      <w:r>
        <w:rPr>
          <w:rFonts w:hint="eastAsia" w:ascii="宋体" w:hAnsi="宋体"/>
          <w:sz w:val="24"/>
          <w:szCs w:val="24"/>
        </w:rPr>
        <w:t>2．油类记录簿（扫描件）。</w:t>
      </w:r>
    </w:p>
    <w:p>
      <w:pPr>
        <w:spacing w:line="400" w:lineRule="atLeast"/>
        <w:ind w:firstLine="480" w:firstLineChars="200"/>
        <w:rPr>
          <w:rFonts w:hint="eastAsia" w:ascii="宋体" w:hAnsi="宋体"/>
          <w:sz w:val="24"/>
          <w:szCs w:val="24"/>
        </w:rPr>
      </w:pPr>
      <w:r>
        <w:rPr>
          <w:rFonts w:hint="eastAsia" w:ascii="宋体" w:hAnsi="宋体"/>
          <w:sz w:val="24"/>
          <w:szCs w:val="24"/>
        </w:rPr>
        <w:t>（四）补贴申请时间。</w:t>
      </w:r>
    </w:p>
    <w:p>
      <w:pPr>
        <w:spacing w:line="400" w:lineRule="atLeast"/>
        <w:ind w:firstLine="480" w:firstLineChars="200"/>
        <w:rPr>
          <w:rFonts w:hint="eastAsia" w:ascii="宋体" w:hAnsi="宋体"/>
          <w:sz w:val="24"/>
          <w:szCs w:val="24"/>
        </w:rPr>
      </w:pPr>
      <w:r>
        <w:rPr>
          <w:rFonts w:hint="eastAsia" w:ascii="宋体" w:hAnsi="宋体"/>
          <w:sz w:val="24"/>
          <w:szCs w:val="24"/>
        </w:rPr>
        <w:t>1．补贴申请应于转用低硫油后次月5日前（遇周末或节假日可顺延至节假日后的第1个工作日）提交。</w:t>
      </w:r>
    </w:p>
    <w:p>
      <w:pPr>
        <w:spacing w:line="400" w:lineRule="atLeast"/>
        <w:ind w:firstLine="480" w:firstLineChars="200"/>
        <w:rPr>
          <w:rFonts w:hint="eastAsia" w:ascii="宋体" w:hAnsi="宋体"/>
          <w:sz w:val="24"/>
          <w:szCs w:val="24"/>
        </w:rPr>
      </w:pPr>
      <w:r>
        <w:rPr>
          <w:rFonts w:hint="eastAsia" w:ascii="宋体" w:hAnsi="宋体"/>
          <w:sz w:val="24"/>
          <w:szCs w:val="24"/>
        </w:rPr>
        <w:t>2．需要补充提交申请资料的，应于收到通知后的5个工作日内提交。</w:t>
      </w:r>
    </w:p>
    <w:p>
      <w:pPr>
        <w:spacing w:line="400" w:lineRule="atLeast"/>
        <w:ind w:firstLine="480" w:firstLineChars="200"/>
        <w:rPr>
          <w:rFonts w:hint="eastAsia" w:ascii="宋体" w:hAnsi="宋体"/>
          <w:sz w:val="24"/>
          <w:szCs w:val="24"/>
        </w:rPr>
      </w:pPr>
      <w:r>
        <w:rPr>
          <w:rFonts w:hint="eastAsia" w:ascii="宋体" w:hAnsi="宋体"/>
          <w:sz w:val="24"/>
          <w:szCs w:val="24"/>
        </w:rPr>
        <w:t>3．未能在上述时间内提交资料的，相关申请不予受理或审核不予通过。</w:t>
      </w:r>
    </w:p>
    <w:p>
      <w:pPr>
        <w:spacing w:line="400" w:lineRule="atLeast"/>
        <w:ind w:firstLine="480" w:firstLineChars="200"/>
        <w:rPr>
          <w:rFonts w:hint="eastAsia" w:ascii="宋体" w:hAnsi="宋体"/>
          <w:sz w:val="24"/>
          <w:szCs w:val="24"/>
        </w:rPr>
      </w:pPr>
      <w:r>
        <w:rPr>
          <w:rFonts w:hint="eastAsia" w:ascii="宋体" w:hAnsi="宋体"/>
          <w:sz w:val="24"/>
          <w:szCs w:val="24"/>
        </w:rPr>
        <w:t>（五）补贴资金申请审核程序。</w:t>
      </w:r>
    </w:p>
    <w:p>
      <w:pPr>
        <w:spacing w:line="400" w:lineRule="atLeast"/>
        <w:ind w:firstLine="480" w:firstLineChars="200"/>
        <w:rPr>
          <w:rFonts w:hint="eastAsia" w:ascii="宋体" w:hAnsi="宋体"/>
          <w:sz w:val="24"/>
          <w:szCs w:val="24"/>
        </w:rPr>
      </w:pPr>
      <w:r>
        <w:rPr>
          <w:rFonts w:hint="eastAsia" w:ascii="宋体" w:hAnsi="宋体"/>
          <w:sz w:val="24"/>
          <w:szCs w:val="24"/>
        </w:rPr>
        <w:t>1．深圳市交通运输局应于15个工作日内对申请人提交的材料进行审核，对不符合申请条件的，不予通过并说明理由；符合申请条件的，由深圳市交通运输局出具资助审核意见。</w:t>
      </w:r>
    </w:p>
    <w:p>
      <w:pPr>
        <w:spacing w:line="400" w:lineRule="atLeast"/>
        <w:ind w:firstLine="480" w:firstLineChars="200"/>
        <w:rPr>
          <w:rFonts w:hint="eastAsia" w:ascii="宋体" w:hAnsi="宋体"/>
          <w:sz w:val="24"/>
          <w:szCs w:val="24"/>
        </w:rPr>
      </w:pPr>
      <w:r>
        <w:rPr>
          <w:rFonts w:hint="eastAsia" w:ascii="宋体" w:hAnsi="宋体"/>
          <w:sz w:val="24"/>
          <w:szCs w:val="24"/>
        </w:rPr>
        <w:t>2．资助审核意见按季度在深圳市交通运输局的网站予以公示，公示期为15个工作日。</w:t>
      </w:r>
    </w:p>
    <w:p>
      <w:pPr>
        <w:spacing w:line="400" w:lineRule="atLeast"/>
        <w:ind w:firstLine="480" w:firstLineChars="200"/>
        <w:rPr>
          <w:rFonts w:hint="eastAsia" w:ascii="宋体" w:hAnsi="宋体"/>
          <w:sz w:val="24"/>
          <w:szCs w:val="24"/>
        </w:rPr>
      </w:pPr>
      <w:r>
        <w:rPr>
          <w:rFonts w:hint="eastAsia" w:ascii="宋体" w:hAnsi="宋体"/>
          <w:sz w:val="24"/>
          <w:szCs w:val="24"/>
        </w:rPr>
        <w:t>3</w:t>
      </w:r>
      <w:r>
        <w:rPr>
          <w:rFonts w:hint="eastAsia" w:ascii="宋体" w:hAnsi="宋体"/>
          <w:spacing w:val="-2"/>
          <w:sz w:val="24"/>
          <w:szCs w:val="24"/>
        </w:rPr>
        <w:t>．公示期结束后未有异议</w:t>
      </w:r>
      <w:r>
        <w:rPr>
          <w:rFonts w:hint="eastAsia" w:ascii="宋体" w:hAnsi="宋体"/>
          <w:sz w:val="24"/>
          <w:szCs w:val="24"/>
        </w:rPr>
        <w:t>的，深圳市交通运输局按照有关规定拨付相应补贴资金。</w:t>
      </w:r>
    </w:p>
    <w:p>
      <w:pPr>
        <w:spacing w:line="400" w:lineRule="atLeast"/>
        <w:ind w:firstLine="480" w:firstLineChars="200"/>
        <w:rPr>
          <w:rFonts w:hint="eastAsia" w:ascii="宋体" w:hAnsi="宋体"/>
          <w:sz w:val="24"/>
          <w:szCs w:val="24"/>
        </w:rPr>
      </w:pPr>
      <w:r>
        <w:rPr>
          <w:rFonts w:hint="eastAsia" w:ascii="宋体" w:hAnsi="宋体"/>
          <w:sz w:val="24"/>
          <w:szCs w:val="24"/>
        </w:rPr>
        <w:t>4．如有异议，异议人可向深圳市交通运输局提出复核申请，深圳市交通运输局进行复核，根据复核结果重新出具资助审核意见并公示。</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四、其他事项</w:t>
      </w:r>
    </w:p>
    <w:p>
      <w:pPr>
        <w:spacing w:line="400" w:lineRule="atLeast"/>
        <w:ind w:firstLine="480" w:firstLineChars="200"/>
        <w:rPr>
          <w:rFonts w:hint="eastAsia" w:ascii="宋体" w:hAnsi="宋体"/>
          <w:sz w:val="24"/>
          <w:szCs w:val="24"/>
        </w:rPr>
      </w:pPr>
      <w:r>
        <w:rPr>
          <w:rFonts w:hint="eastAsia" w:ascii="宋体" w:hAnsi="宋体"/>
          <w:sz w:val="24"/>
          <w:szCs w:val="24"/>
        </w:rPr>
        <w:t>（一）本申报指南由深圳市交通运输局负责解释。</w:t>
      </w:r>
    </w:p>
    <w:p>
      <w:pPr>
        <w:spacing w:line="400" w:lineRule="atLeast"/>
        <w:ind w:firstLine="480" w:firstLineChars="200"/>
        <w:rPr>
          <w:rFonts w:hint="eastAsia" w:ascii="宋体" w:hAnsi="宋体"/>
          <w:sz w:val="24"/>
          <w:szCs w:val="24"/>
        </w:rPr>
      </w:pPr>
      <w:r>
        <w:rPr>
          <w:rFonts w:hint="eastAsia" w:ascii="宋体" w:hAnsi="宋体"/>
          <w:sz w:val="24"/>
          <w:szCs w:val="24"/>
        </w:rPr>
        <w:t>（二）异议受理地址：福田区新沙街5号608室；异议咨询电话：83585933；补贴办理咨询电话：26696564；技术支持电话：18620375266。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E118E"/>
    <w:rsid w:val="2D9E1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2019-03-26T06:47:00Z</dcterms:created>
  <dc:creator>琉璃</dc:creator>
  <cp:lastModifiedBy>琉璃</cp:lastModifiedBy>
  <dcterms:modified xsi:type="dcterms:W3CDTF">2019-03-26T06:47:37Z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