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hAnsi="宋体"/>
          <w:b/>
          <w:sz w:val="24"/>
          <w:szCs w:val="24"/>
        </w:rPr>
      </w:pPr>
      <w:r>
        <w:rPr>
          <w:rFonts w:hint="eastAsia" w:ascii="宋体" w:hAnsi="宋体"/>
          <w:sz w:val="24"/>
          <w:szCs w:val="24"/>
        </w:rPr>
        <w:t>附件</w:t>
      </w:r>
    </w:p>
    <w:p>
      <w:pPr>
        <w:spacing w:line="0" w:lineRule="atLeast"/>
        <w:jc w:val="center"/>
        <w:rPr>
          <w:rFonts w:hint="eastAsia" w:ascii="宋体" w:hAnsi="宋体"/>
          <w:sz w:val="36"/>
          <w:szCs w:val="36"/>
        </w:rPr>
      </w:pPr>
      <w:r>
        <w:rPr>
          <w:rFonts w:ascii="宋体" w:hAnsi="宋体"/>
          <w:sz w:val="36"/>
          <w:szCs w:val="36"/>
        </w:rPr>
        <w:t>2018</w:t>
      </w:r>
      <w:r>
        <w:rPr>
          <w:rFonts w:hint="eastAsia" w:ascii="宋体" w:hAnsi="宋体"/>
          <w:sz w:val="36"/>
          <w:szCs w:val="36"/>
        </w:rPr>
        <w:t>年《深圳市重特大疾病补充医疗保险</w:t>
      </w:r>
    </w:p>
    <w:p>
      <w:pPr>
        <w:spacing w:after="120" w:afterLines="50" w:line="0" w:lineRule="atLeast"/>
        <w:jc w:val="center"/>
        <w:rPr>
          <w:rFonts w:ascii="宋体" w:hAnsi="宋体"/>
          <w:sz w:val="36"/>
          <w:szCs w:val="36"/>
        </w:rPr>
      </w:pPr>
      <w:r>
        <w:rPr>
          <w:rFonts w:hint="eastAsia" w:ascii="宋体" w:hAnsi="宋体"/>
          <w:sz w:val="36"/>
          <w:szCs w:val="36"/>
        </w:rPr>
        <w:t>药品目录》增补品种</w:t>
      </w:r>
    </w:p>
    <w:tbl>
      <w:tblPr>
        <w:tblStyle w:val="3"/>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079"/>
        <w:gridCol w:w="994"/>
        <w:gridCol w:w="813"/>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3" w:type="dxa"/>
            <w:noWrap w:val="0"/>
            <w:vAlign w:val="center"/>
          </w:tcPr>
          <w:p>
            <w:pPr>
              <w:widowControl/>
              <w:spacing w:line="320" w:lineRule="exact"/>
              <w:ind w:left="-42" w:leftChars="-20" w:right="-42" w:rightChars="-20"/>
              <w:jc w:val="center"/>
              <w:rPr>
                <w:rFonts w:hint="eastAsia" w:ascii="黑体" w:hAnsi="宋体" w:eastAsia="黑体" w:cs="宋体"/>
                <w:bCs/>
                <w:kern w:val="21"/>
                <w:szCs w:val="21"/>
              </w:rPr>
            </w:pPr>
            <w:r>
              <w:rPr>
                <w:rFonts w:hint="eastAsia" w:ascii="黑体" w:hAnsi="宋体" w:eastAsia="黑体" w:cs="宋体"/>
                <w:bCs/>
                <w:kern w:val="21"/>
                <w:szCs w:val="21"/>
              </w:rPr>
              <w:t>序号</w:t>
            </w:r>
          </w:p>
        </w:tc>
        <w:tc>
          <w:tcPr>
            <w:tcW w:w="2079" w:type="dxa"/>
            <w:noWrap w:val="0"/>
            <w:vAlign w:val="center"/>
          </w:tcPr>
          <w:p>
            <w:pPr>
              <w:widowControl/>
              <w:spacing w:line="320" w:lineRule="exact"/>
              <w:ind w:left="-42" w:leftChars="-20" w:right="-42" w:rightChars="-20"/>
              <w:jc w:val="center"/>
              <w:rPr>
                <w:rFonts w:hint="eastAsia" w:ascii="黑体" w:hAnsi="宋体" w:eastAsia="黑体" w:cs="宋体"/>
                <w:bCs/>
                <w:kern w:val="21"/>
                <w:szCs w:val="21"/>
              </w:rPr>
            </w:pPr>
            <w:r>
              <w:rPr>
                <w:rFonts w:hint="eastAsia" w:ascii="黑体" w:hAnsi="宋体" w:eastAsia="黑体" w:cs="宋体"/>
                <w:bCs/>
                <w:kern w:val="21"/>
                <w:szCs w:val="21"/>
              </w:rPr>
              <w:t>药品通用名</w:t>
            </w:r>
          </w:p>
        </w:tc>
        <w:tc>
          <w:tcPr>
            <w:tcW w:w="994" w:type="dxa"/>
            <w:noWrap w:val="0"/>
            <w:vAlign w:val="center"/>
          </w:tcPr>
          <w:p>
            <w:pPr>
              <w:widowControl/>
              <w:spacing w:line="320" w:lineRule="exact"/>
              <w:ind w:left="-42" w:leftChars="-20" w:right="-42" w:rightChars="-20"/>
              <w:jc w:val="center"/>
              <w:rPr>
                <w:rFonts w:hint="eastAsia" w:ascii="黑体" w:hAnsi="宋体" w:eastAsia="黑体" w:cs="宋体"/>
                <w:bCs/>
                <w:kern w:val="21"/>
                <w:szCs w:val="21"/>
              </w:rPr>
            </w:pPr>
            <w:r>
              <w:rPr>
                <w:rFonts w:hint="eastAsia" w:ascii="黑体" w:hAnsi="宋体" w:eastAsia="黑体" w:cs="宋体"/>
                <w:bCs/>
                <w:kern w:val="21"/>
                <w:szCs w:val="21"/>
              </w:rPr>
              <w:t>商品名</w:t>
            </w:r>
          </w:p>
        </w:tc>
        <w:tc>
          <w:tcPr>
            <w:tcW w:w="813" w:type="dxa"/>
            <w:noWrap w:val="0"/>
            <w:vAlign w:val="center"/>
          </w:tcPr>
          <w:p>
            <w:pPr>
              <w:widowControl/>
              <w:spacing w:line="320" w:lineRule="exact"/>
              <w:ind w:left="-42" w:leftChars="-20" w:right="-42" w:rightChars="-20"/>
              <w:jc w:val="center"/>
              <w:rPr>
                <w:rFonts w:hint="eastAsia" w:ascii="黑体" w:hAnsi="宋体" w:eastAsia="黑体" w:cs="宋体"/>
                <w:bCs/>
                <w:kern w:val="21"/>
                <w:szCs w:val="21"/>
              </w:rPr>
            </w:pPr>
            <w:r>
              <w:rPr>
                <w:rFonts w:hint="eastAsia" w:ascii="黑体" w:hAnsi="宋体" w:eastAsia="黑体" w:cs="宋体"/>
                <w:bCs/>
                <w:kern w:val="21"/>
                <w:szCs w:val="21"/>
              </w:rPr>
              <w:t>剂型</w:t>
            </w:r>
          </w:p>
        </w:tc>
        <w:tc>
          <w:tcPr>
            <w:tcW w:w="4495" w:type="dxa"/>
            <w:noWrap w:val="0"/>
            <w:vAlign w:val="center"/>
          </w:tcPr>
          <w:p>
            <w:pPr>
              <w:widowControl/>
              <w:spacing w:line="320" w:lineRule="exact"/>
              <w:ind w:left="-42" w:leftChars="-20" w:right="-42" w:rightChars="-20"/>
              <w:jc w:val="center"/>
              <w:rPr>
                <w:rFonts w:hint="eastAsia" w:ascii="黑体" w:hAnsi="宋体" w:eastAsia="黑体" w:cs="宋体"/>
                <w:bCs/>
                <w:kern w:val="21"/>
                <w:szCs w:val="21"/>
              </w:rPr>
            </w:pPr>
            <w:r>
              <w:rPr>
                <w:rFonts w:hint="eastAsia" w:ascii="黑体" w:hAnsi="宋体" w:eastAsia="黑体" w:cs="宋体"/>
                <w:bCs/>
                <w:kern w:val="21"/>
                <w:szCs w:val="21"/>
              </w:rPr>
              <w:t>支付限制范围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3" w:type="dxa"/>
            <w:noWrap w:val="0"/>
            <w:vAlign w:val="center"/>
          </w:tcPr>
          <w:p>
            <w:pPr>
              <w:widowControl/>
              <w:spacing w:line="320" w:lineRule="exact"/>
              <w:ind w:left="-42" w:leftChars="-20" w:right="-42" w:rightChars="-20"/>
              <w:jc w:val="center"/>
              <w:rPr>
                <w:rFonts w:ascii="宋体" w:hAnsi="宋体" w:cs="宋体"/>
                <w:bCs/>
                <w:kern w:val="21"/>
                <w:szCs w:val="21"/>
              </w:rPr>
            </w:pPr>
            <w:r>
              <w:rPr>
                <w:rFonts w:ascii="宋体" w:hAnsi="宋体" w:cs="宋体"/>
                <w:bCs/>
                <w:kern w:val="21"/>
                <w:szCs w:val="21"/>
              </w:rPr>
              <w:t>1</w:t>
            </w:r>
          </w:p>
        </w:tc>
        <w:tc>
          <w:tcPr>
            <w:tcW w:w="2079" w:type="dxa"/>
            <w:noWrap w:val="0"/>
            <w:vAlign w:val="center"/>
          </w:tcPr>
          <w:p>
            <w:pPr>
              <w:spacing w:line="320" w:lineRule="exact"/>
              <w:ind w:left="-42" w:leftChars="-20" w:right="-42" w:rightChars="-20"/>
              <w:rPr>
                <w:rFonts w:ascii="宋体" w:hAnsi="宋体" w:cs="宋体"/>
                <w:color w:val="000000"/>
                <w:kern w:val="21"/>
                <w:szCs w:val="21"/>
              </w:rPr>
            </w:pPr>
            <w:r>
              <w:rPr>
                <w:rFonts w:hint="eastAsia" w:ascii="宋体" w:hAnsi="宋体"/>
                <w:color w:val="000000"/>
                <w:kern w:val="21"/>
                <w:szCs w:val="21"/>
              </w:rPr>
              <w:t>盐酸阿来替尼胶囊</w:t>
            </w:r>
          </w:p>
        </w:tc>
        <w:tc>
          <w:tcPr>
            <w:tcW w:w="994"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安圣莎</w:t>
            </w:r>
          </w:p>
        </w:tc>
        <w:tc>
          <w:tcPr>
            <w:tcW w:w="813"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胶囊剂</w:t>
            </w:r>
          </w:p>
        </w:tc>
        <w:tc>
          <w:tcPr>
            <w:tcW w:w="4495" w:type="dxa"/>
            <w:noWrap w:val="0"/>
            <w:vAlign w:val="center"/>
          </w:tcPr>
          <w:p>
            <w:pPr>
              <w:spacing w:line="320" w:lineRule="exact"/>
              <w:ind w:left="-42" w:leftChars="-20" w:right="-42" w:rightChars="-20"/>
              <w:rPr>
                <w:rFonts w:ascii="宋体" w:hAnsi="宋体" w:cs="宋体"/>
                <w:kern w:val="21"/>
                <w:szCs w:val="21"/>
              </w:rPr>
            </w:pPr>
            <w:r>
              <w:rPr>
                <w:rFonts w:hint="eastAsia" w:ascii="宋体" w:hAnsi="宋体"/>
                <w:kern w:val="21"/>
                <w:szCs w:val="21"/>
              </w:rPr>
              <w:t>限用间变性淋巴瘤激酶（</w:t>
            </w:r>
            <w:r>
              <w:rPr>
                <w:rFonts w:ascii="宋体" w:hAnsi="宋体"/>
                <w:kern w:val="21"/>
                <w:szCs w:val="21"/>
              </w:rPr>
              <w:t>ALK</w:t>
            </w:r>
            <w:r>
              <w:rPr>
                <w:rFonts w:hint="eastAsia" w:ascii="宋体" w:hAnsi="宋体"/>
                <w:kern w:val="21"/>
                <w:szCs w:val="21"/>
              </w:rPr>
              <w:t>）阳性的局部晚期或转移性非小细胞肺癌患者的治疗。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3" w:type="dxa"/>
            <w:noWrap w:val="0"/>
            <w:vAlign w:val="center"/>
          </w:tcPr>
          <w:p>
            <w:pPr>
              <w:widowControl/>
              <w:spacing w:line="320" w:lineRule="exact"/>
              <w:ind w:left="-42" w:leftChars="-20" w:right="-42" w:rightChars="-20"/>
              <w:jc w:val="center"/>
              <w:rPr>
                <w:rFonts w:ascii="宋体" w:hAnsi="宋体" w:cs="宋体"/>
                <w:bCs/>
                <w:kern w:val="21"/>
                <w:szCs w:val="21"/>
              </w:rPr>
            </w:pPr>
            <w:r>
              <w:rPr>
                <w:rFonts w:ascii="宋体" w:hAnsi="宋体" w:cs="宋体"/>
                <w:bCs/>
                <w:kern w:val="21"/>
                <w:szCs w:val="21"/>
              </w:rPr>
              <w:t>2</w:t>
            </w:r>
          </w:p>
        </w:tc>
        <w:tc>
          <w:tcPr>
            <w:tcW w:w="2079" w:type="dxa"/>
            <w:noWrap w:val="0"/>
            <w:vAlign w:val="center"/>
          </w:tcPr>
          <w:p>
            <w:pPr>
              <w:spacing w:line="320" w:lineRule="exact"/>
              <w:ind w:left="-42" w:leftChars="-20" w:right="-42" w:rightChars="-20"/>
              <w:rPr>
                <w:rFonts w:ascii="宋体" w:hAnsi="宋体" w:cs="宋体"/>
                <w:color w:val="000000"/>
                <w:kern w:val="21"/>
                <w:szCs w:val="21"/>
              </w:rPr>
            </w:pPr>
            <w:r>
              <w:rPr>
                <w:rFonts w:hint="eastAsia" w:ascii="宋体" w:hAnsi="宋体"/>
                <w:color w:val="000000"/>
                <w:kern w:val="21"/>
                <w:szCs w:val="21"/>
              </w:rPr>
              <w:t>帕博利珠单抗注射液</w:t>
            </w:r>
          </w:p>
        </w:tc>
        <w:tc>
          <w:tcPr>
            <w:tcW w:w="994"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可瑞达</w:t>
            </w:r>
          </w:p>
        </w:tc>
        <w:tc>
          <w:tcPr>
            <w:tcW w:w="813"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注射剂</w:t>
            </w:r>
          </w:p>
        </w:tc>
        <w:tc>
          <w:tcPr>
            <w:tcW w:w="4495" w:type="dxa"/>
            <w:noWrap w:val="0"/>
            <w:vAlign w:val="center"/>
          </w:tcPr>
          <w:p>
            <w:pPr>
              <w:spacing w:line="320" w:lineRule="exact"/>
              <w:ind w:left="-42" w:leftChars="-20" w:right="-42" w:rightChars="-20"/>
              <w:rPr>
                <w:rFonts w:ascii="宋体" w:hAnsi="宋体" w:cs="宋体"/>
                <w:kern w:val="21"/>
                <w:szCs w:val="21"/>
              </w:rPr>
            </w:pPr>
            <w:r>
              <w:rPr>
                <w:rFonts w:hint="eastAsia" w:ascii="宋体" w:hAnsi="宋体"/>
                <w:kern w:val="21"/>
                <w:szCs w:val="21"/>
              </w:rPr>
              <w:t>限用于经一线治疗失败的不可切除或转移性黑色素瘤的治疗。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3" w:type="dxa"/>
            <w:noWrap w:val="0"/>
            <w:vAlign w:val="center"/>
          </w:tcPr>
          <w:p>
            <w:pPr>
              <w:widowControl/>
              <w:spacing w:line="320" w:lineRule="exact"/>
              <w:ind w:left="-42" w:leftChars="-20" w:right="-42" w:rightChars="-20"/>
              <w:jc w:val="center"/>
              <w:rPr>
                <w:rFonts w:ascii="宋体" w:hAnsi="宋体" w:cs="宋体"/>
                <w:bCs/>
                <w:kern w:val="21"/>
                <w:szCs w:val="21"/>
              </w:rPr>
            </w:pPr>
            <w:r>
              <w:rPr>
                <w:rFonts w:ascii="宋体" w:hAnsi="宋体" w:cs="宋体"/>
                <w:bCs/>
                <w:kern w:val="21"/>
                <w:szCs w:val="21"/>
              </w:rPr>
              <w:t>3</w:t>
            </w:r>
          </w:p>
        </w:tc>
        <w:tc>
          <w:tcPr>
            <w:tcW w:w="2079" w:type="dxa"/>
            <w:noWrap w:val="0"/>
            <w:vAlign w:val="center"/>
          </w:tcPr>
          <w:p>
            <w:pPr>
              <w:spacing w:line="320" w:lineRule="exact"/>
              <w:ind w:left="-42" w:leftChars="-20" w:right="-42" w:rightChars="-20"/>
              <w:rPr>
                <w:rFonts w:ascii="宋体" w:hAnsi="宋体" w:cs="宋体"/>
                <w:color w:val="000000"/>
                <w:kern w:val="21"/>
                <w:szCs w:val="21"/>
              </w:rPr>
            </w:pPr>
            <w:r>
              <w:rPr>
                <w:rFonts w:hint="eastAsia" w:ascii="宋体" w:hAnsi="宋体"/>
                <w:color w:val="000000"/>
                <w:kern w:val="21"/>
                <w:szCs w:val="21"/>
              </w:rPr>
              <w:t>奥拉帕利片</w:t>
            </w:r>
          </w:p>
        </w:tc>
        <w:tc>
          <w:tcPr>
            <w:tcW w:w="994"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利普卓</w:t>
            </w:r>
          </w:p>
        </w:tc>
        <w:tc>
          <w:tcPr>
            <w:tcW w:w="813"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片剂</w:t>
            </w:r>
          </w:p>
        </w:tc>
        <w:tc>
          <w:tcPr>
            <w:tcW w:w="4495" w:type="dxa"/>
            <w:noWrap w:val="0"/>
            <w:vAlign w:val="center"/>
          </w:tcPr>
          <w:p>
            <w:pPr>
              <w:spacing w:line="320" w:lineRule="exact"/>
              <w:ind w:left="-42" w:leftChars="-20" w:right="-42" w:rightChars="-20"/>
              <w:rPr>
                <w:rFonts w:ascii="宋体" w:hAnsi="宋体" w:cs="宋体"/>
                <w:kern w:val="21"/>
                <w:szCs w:val="21"/>
              </w:rPr>
            </w:pPr>
            <w:r>
              <w:rPr>
                <w:rFonts w:hint="eastAsia" w:ascii="宋体" w:hAnsi="宋体"/>
                <w:kern w:val="21"/>
                <w:szCs w:val="21"/>
              </w:rPr>
              <w:t>限用于铂敏感的复发性上皮性卵巢癌、输卵管癌或原发性腹膜癌成人患者在含铂化疗达到完全缓解或部分缓解后的维持治疗。</w:t>
            </w:r>
          </w:p>
        </w:tc>
      </w:tr>
    </w:tbl>
    <w:p>
      <w:pPr>
        <w:rPr>
          <w:rFonts w:hint="eastAsia"/>
        </w:rPr>
      </w:pPr>
    </w:p>
    <w:tbl>
      <w:tblPr>
        <w:tblStyle w:val="3"/>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079"/>
        <w:gridCol w:w="994"/>
        <w:gridCol w:w="813"/>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3" w:type="dxa"/>
            <w:noWrap w:val="0"/>
            <w:vAlign w:val="center"/>
          </w:tcPr>
          <w:p>
            <w:pPr>
              <w:widowControl/>
              <w:spacing w:line="320" w:lineRule="exact"/>
              <w:ind w:left="-42" w:leftChars="-20" w:right="-42" w:rightChars="-20"/>
              <w:jc w:val="center"/>
              <w:rPr>
                <w:rFonts w:hint="eastAsia" w:ascii="黑体" w:hAnsi="宋体" w:eastAsia="黑体" w:cs="宋体"/>
                <w:bCs/>
                <w:kern w:val="21"/>
                <w:szCs w:val="21"/>
              </w:rPr>
            </w:pPr>
            <w:r>
              <w:rPr>
                <w:rFonts w:hint="eastAsia" w:ascii="黑体" w:hAnsi="宋体" w:eastAsia="黑体" w:cs="宋体"/>
                <w:bCs/>
                <w:kern w:val="21"/>
                <w:szCs w:val="21"/>
              </w:rPr>
              <w:t>序号</w:t>
            </w:r>
          </w:p>
        </w:tc>
        <w:tc>
          <w:tcPr>
            <w:tcW w:w="2079" w:type="dxa"/>
            <w:noWrap w:val="0"/>
            <w:vAlign w:val="center"/>
          </w:tcPr>
          <w:p>
            <w:pPr>
              <w:widowControl/>
              <w:spacing w:line="320" w:lineRule="exact"/>
              <w:ind w:left="-42" w:leftChars="-20" w:right="-42" w:rightChars="-20"/>
              <w:jc w:val="center"/>
              <w:rPr>
                <w:rFonts w:hint="eastAsia" w:ascii="黑体" w:hAnsi="宋体" w:eastAsia="黑体" w:cs="宋体"/>
                <w:bCs/>
                <w:kern w:val="21"/>
                <w:szCs w:val="21"/>
              </w:rPr>
            </w:pPr>
            <w:r>
              <w:rPr>
                <w:rFonts w:hint="eastAsia" w:ascii="黑体" w:hAnsi="宋体" w:eastAsia="黑体" w:cs="宋体"/>
                <w:bCs/>
                <w:kern w:val="21"/>
                <w:szCs w:val="21"/>
              </w:rPr>
              <w:t>药品通用名</w:t>
            </w:r>
          </w:p>
        </w:tc>
        <w:tc>
          <w:tcPr>
            <w:tcW w:w="994" w:type="dxa"/>
            <w:noWrap w:val="0"/>
            <w:vAlign w:val="center"/>
          </w:tcPr>
          <w:p>
            <w:pPr>
              <w:widowControl/>
              <w:spacing w:line="320" w:lineRule="exact"/>
              <w:ind w:left="-42" w:leftChars="-20" w:right="-42" w:rightChars="-20"/>
              <w:jc w:val="center"/>
              <w:rPr>
                <w:rFonts w:hint="eastAsia" w:ascii="黑体" w:hAnsi="宋体" w:eastAsia="黑体" w:cs="宋体"/>
                <w:bCs/>
                <w:kern w:val="21"/>
                <w:szCs w:val="21"/>
              </w:rPr>
            </w:pPr>
            <w:r>
              <w:rPr>
                <w:rFonts w:hint="eastAsia" w:ascii="黑体" w:hAnsi="宋体" w:eastAsia="黑体" w:cs="宋体"/>
                <w:bCs/>
                <w:kern w:val="21"/>
                <w:szCs w:val="21"/>
              </w:rPr>
              <w:t>商品名</w:t>
            </w:r>
          </w:p>
        </w:tc>
        <w:tc>
          <w:tcPr>
            <w:tcW w:w="813" w:type="dxa"/>
            <w:noWrap w:val="0"/>
            <w:vAlign w:val="center"/>
          </w:tcPr>
          <w:p>
            <w:pPr>
              <w:widowControl/>
              <w:spacing w:line="320" w:lineRule="exact"/>
              <w:ind w:left="-42" w:leftChars="-20" w:right="-42" w:rightChars="-20"/>
              <w:jc w:val="center"/>
              <w:rPr>
                <w:rFonts w:hint="eastAsia" w:ascii="黑体" w:hAnsi="宋体" w:eastAsia="黑体" w:cs="宋体"/>
                <w:bCs/>
                <w:kern w:val="21"/>
                <w:szCs w:val="21"/>
              </w:rPr>
            </w:pPr>
            <w:r>
              <w:rPr>
                <w:rFonts w:hint="eastAsia" w:ascii="黑体" w:hAnsi="宋体" w:eastAsia="黑体" w:cs="宋体"/>
                <w:bCs/>
                <w:kern w:val="21"/>
                <w:szCs w:val="21"/>
              </w:rPr>
              <w:t>剂型</w:t>
            </w:r>
          </w:p>
        </w:tc>
        <w:tc>
          <w:tcPr>
            <w:tcW w:w="4495" w:type="dxa"/>
            <w:noWrap w:val="0"/>
            <w:vAlign w:val="center"/>
          </w:tcPr>
          <w:p>
            <w:pPr>
              <w:widowControl/>
              <w:spacing w:line="320" w:lineRule="exact"/>
              <w:ind w:left="-42" w:leftChars="-20" w:right="-42" w:rightChars="-20"/>
              <w:jc w:val="center"/>
              <w:rPr>
                <w:rFonts w:hint="eastAsia" w:ascii="黑体" w:hAnsi="宋体" w:eastAsia="黑体" w:cs="宋体"/>
                <w:bCs/>
                <w:kern w:val="21"/>
                <w:szCs w:val="21"/>
              </w:rPr>
            </w:pPr>
            <w:r>
              <w:rPr>
                <w:rFonts w:hint="eastAsia" w:ascii="黑体" w:hAnsi="宋体" w:eastAsia="黑体" w:cs="宋体"/>
                <w:bCs/>
                <w:kern w:val="21"/>
                <w:szCs w:val="21"/>
              </w:rPr>
              <w:t>支付限制范围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3" w:type="dxa"/>
            <w:noWrap w:val="0"/>
            <w:vAlign w:val="center"/>
          </w:tcPr>
          <w:p>
            <w:pPr>
              <w:widowControl/>
              <w:spacing w:line="320" w:lineRule="exact"/>
              <w:ind w:left="-42" w:leftChars="-20" w:right="-42" w:rightChars="-20"/>
              <w:jc w:val="center"/>
              <w:rPr>
                <w:rFonts w:ascii="宋体" w:hAnsi="宋体" w:cs="宋体"/>
                <w:bCs/>
                <w:kern w:val="21"/>
                <w:szCs w:val="21"/>
              </w:rPr>
            </w:pPr>
            <w:r>
              <w:rPr>
                <w:rFonts w:ascii="宋体" w:hAnsi="宋体" w:cs="宋体"/>
                <w:bCs/>
                <w:kern w:val="21"/>
                <w:szCs w:val="21"/>
              </w:rPr>
              <w:t>4</w:t>
            </w:r>
          </w:p>
        </w:tc>
        <w:tc>
          <w:tcPr>
            <w:tcW w:w="2079" w:type="dxa"/>
            <w:noWrap w:val="0"/>
            <w:vAlign w:val="center"/>
          </w:tcPr>
          <w:p>
            <w:pPr>
              <w:spacing w:line="320" w:lineRule="exact"/>
              <w:ind w:left="-42" w:leftChars="-20" w:right="-42" w:rightChars="-20"/>
              <w:rPr>
                <w:rFonts w:ascii="宋体" w:hAnsi="宋体" w:cs="宋体"/>
                <w:color w:val="000000"/>
                <w:kern w:val="21"/>
                <w:szCs w:val="21"/>
              </w:rPr>
            </w:pPr>
            <w:r>
              <w:rPr>
                <w:rFonts w:hint="eastAsia" w:ascii="宋体" w:hAnsi="宋体"/>
                <w:color w:val="000000"/>
                <w:kern w:val="21"/>
                <w:szCs w:val="21"/>
              </w:rPr>
              <w:t>磷酸芦可替尼片</w:t>
            </w:r>
          </w:p>
        </w:tc>
        <w:tc>
          <w:tcPr>
            <w:tcW w:w="994"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捷恪卫</w:t>
            </w:r>
          </w:p>
        </w:tc>
        <w:tc>
          <w:tcPr>
            <w:tcW w:w="813"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片剂</w:t>
            </w:r>
          </w:p>
        </w:tc>
        <w:tc>
          <w:tcPr>
            <w:tcW w:w="4495" w:type="dxa"/>
            <w:noWrap w:val="0"/>
            <w:vAlign w:val="center"/>
          </w:tcPr>
          <w:p>
            <w:pPr>
              <w:spacing w:line="320" w:lineRule="exact"/>
              <w:ind w:left="-42" w:leftChars="-20" w:right="-42" w:rightChars="-20"/>
              <w:rPr>
                <w:rFonts w:ascii="宋体" w:hAnsi="宋体" w:cs="宋体"/>
                <w:kern w:val="21"/>
                <w:szCs w:val="21"/>
              </w:rPr>
            </w:pPr>
            <w:r>
              <w:rPr>
                <w:rFonts w:hint="eastAsia" w:ascii="宋体" w:hAnsi="宋体"/>
                <w:kern w:val="21"/>
                <w:szCs w:val="21"/>
              </w:rPr>
              <w:t>限用于中危或高危的原发性骨髓纤维化（</w:t>
            </w:r>
            <w:r>
              <w:rPr>
                <w:rFonts w:ascii="宋体" w:hAnsi="宋体"/>
                <w:kern w:val="21"/>
                <w:szCs w:val="21"/>
              </w:rPr>
              <w:t>PMF</w:t>
            </w:r>
            <w:r>
              <w:rPr>
                <w:rFonts w:hint="eastAsia" w:ascii="宋体" w:hAnsi="宋体"/>
                <w:kern w:val="21"/>
                <w:szCs w:val="21"/>
              </w:rPr>
              <w:t>）（亦称为慢性特发性骨髓纤维化）、真性红细胞</w:t>
            </w:r>
            <w:r>
              <w:rPr>
                <w:rFonts w:hint="eastAsia" w:ascii="宋体" w:hAnsi="宋体"/>
                <w:spacing w:val="-2"/>
                <w:kern w:val="21"/>
                <w:szCs w:val="21"/>
              </w:rPr>
              <w:t>增多症继发的骨髓纤维化（</w:t>
            </w:r>
            <w:r>
              <w:rPr>
                <w:rFonts w:ascii="宋体" w:hAnsi="宋体"/>
                <w:spacing w:val="-2"/>
                <w:kern w:val="21"/>
                <w:szCs w:val="21"/>
              </w:rPr>
              <w:t>PPV-MF</w:t>
            </w:r>
            <w:r>
              <w:rPr>
                <w:rFonts w:hint="eastAsia" w:ascii="宋体" w:hAnsi="宋体"/>
                <w:spacing w:val="-2"/>
                <w:kern w:val="21"/>
                <w:szCs w:val="21"/>
              </w:rPr>
              <w:t>）或原发性血小板增多症继发的骨髓纤维化（</w:t>
            </w:r>
            <w:r>
              <w:rPr>
                <w:rFonts w:ascii="宋体" w:hAnsi="宋体"/>
                <w:spacing w:val="-2"/>
                <w:kern w:val="21"/>
                <w:szCs w:val="21"/>
              </w:rPr>
              <w:t>PET-MF</w:t>
            </w:r>
            <w:r>
              <w:rPr>
                <w:rFonts w:hint="eastAsia" w:ascii="宋体" w:hAnsi="宋体"/>
                <w:spacing w:val="-2"/>
                <w:kern w:val="21"/>
                <w:szCs w:val="21"/>
              </w:rPr>
              <w:t>）的成年</w:t>
            </w:r>
            <w:r>
              <w:rPr>
                <w:rFonts w:hint="eastAsia" w:ascii="宋体" w:hAnsi="宋体"/>
                <w:kern w:val="21"/>
                <w:szCs w:val="21"/>
              </w:rPr>
              <w:t>患者，治疗疾病相关脾肿大或疾病相关症状。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3" w:type="dxa"/>
            <w:noWrap w:val="0"/>
            <w:vAlign w:val="center"/>
          </w:tcPr>
          <w:p>
            <w:pPr>
              <w:widowControl/>
              <w:spacing w:line="320" w:lineRule="exact"/>
              <w:ind w:left="-42" w:leftChars="-20" w:right="-42" w:rightChars="-20"/>
              <w:jc w:val="center"/>
              <w:rPr>
                <w:rFonts w:ascii="宋体" w:hAnsi="宋体" w:cs="宋体"/>
                <w:bCs/>
                <w:kern w:val="21"/>
                <w:szCs w:val="21"/>
              </w:rPr>
            </w:pPr>
            <w:r>
              <w:rPr>
                <w:rFonts w:ascii="宋体" w:hAnsi="宋体" w:cs="宋体"/>
                <w:bCs/>
                <w:kern w:val="21"/>
                <w:szCs w:val="21"/>
              </w:rPr>
              <w:t>5</w:t>
            </w:r>
          </w:p>
        </w:tc>
        <w:tc>
          <w:tcPr>
            <w:tcW w:w="2079" w:type="dxa"/>
            <w:noWrap w:val="0"/>
            <w:vAlign w:val="center"/>
          </w:tcPr>
          <w:p>
            <w:pPr>
              <w:spacing w:line="320" w:lineRule="exact"/>
              <w:ind w:left="-42" w:leftChars="-20" w:right="-42" w:rightChars="-20"/>
              <w:rPr>
                <w:rFonts w:ascii="宋体" w:hAnsi="宋体" w:cs="宋体"/>
                <w:color w:val="000000"/>
                <w:kern w:val="21"/>
                <w:szCs w:val="21"/>
              </w:rPr>
            </w:pPr>
            <w:r>
              <w:rPr>
                <w:rFonts w:hint="eastAsia" w:ascii="宋体" w:hAnsi="宋体"/>
                <w:color w:val="000000"/>
                <w:kern w:val="21"/>
                <w:szCs w:val="21"/>
              </w:rPr>
              <w:t>哌柏西利胶囊</w:t>
            </w:r>
          </w:p>
        </w:tc>
        <w:tc>
          <w:tcPr>
            <w:tcW w:w="994"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爱博新</w:t>
            </w:r>
            <w:r>
              <w:rPr>
                <w:rFonts w:ascii="宋体" w:hAnsi="宋体"/>
                <w:color w:val="000000"/>
                <w:kern w:val="21"/>
                <w:szCs w:val="21"/>
                <w:vertAlign w:val="superscript"/>
              </w:rPr>
              <w:t>®</w:t>
            </w:r>
          </w:p>
        </w:tc>
        <w:tc>
          <w:tcPr>
            <w:tcW w:w="813"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胶囊剂</w:t>
            </w:r>
          </w:p>
        </w:tc>
        <w:tc>
          <w:tcPr>
            <w:tcW w:w="4495" w:type="dxa"/>
            <w:noWrap w:val="0"/>
            <w:vAlign w:val="center"/>
          </w:tcPr>
          <w:p>
            <w:pPr>
              <w:spacing w:line="320" w:lineRule="exact"/>
              <w:ind w:left="-42" w:leftChars="-20" w:right="-42" w:rightChars="-20"/>
              <w:rPr>
                <w:rFonts w:ascii="宋体" w:hAnsi="宋体" w:cs="宋体"/>
                <w:kern w:val="21"/>
                <w:szCs w:val="21"/>
              </w:rPr>
            </w:pPr>
            <w:r>
              <w:rPr>
                <w:rFonts w:hint="eastAsia" w:ascii="宋体" w:hAnsi="宋体"/>
                <w:kern w:val="21"/>
                <w:szCs w:val="21"/>
              </w:rPr>
              <w:t>限用于激素受体</w:t>
            </w:r>
            <w:r>
              <w:rPr>
                <w:rFonts w:ascii="宋体" w:hAnsi="宋体"/>
                <w:kern w:val="21"/>
                <w:szCs w:val="21"/>
              </w:rPr>
              <w:t>(HR)</w:t>
            </w:r>
            <w:r>
              <w:rPr>
                <w:rFonts w:hint="eastAsia" w:ascii="宋体" w:hAnsi="宋体"/>
                <w:kern w:val="21"/>
                <w:szCs w:val="21"/>
              </w:rPr>
              <w:t>阳性、人表皮生长因子受体</w:t>
            </w:r>
            <w:r>
              <w:rPr>
                <w:rFonts w:ascii="宋体" w:hAnsi="宋体"/>
                <w:kern w:val="21"/>
                <w:szCs w:val="21"/>
              </w:rPr>
              <w:t>2(HER2)</w:t>
            </w:r>
            <w:r>
              <w:rPr>
                <w:rFonts w:hint="eastAsia" w:ascii="宋体" w:hAnsi="宋体"/>
                <w:kern w:val="21"/>
                <w:szCs w:val="21"/>
              </w:rPr>
              <w:t>阴性的局部晚期或转移性乳腺癌，应与芳香化酶抑制剂联合使用作为绝经后女性患者的初始内分泌治疗。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73" w:type="dxa"/>
            <w:noWrap w:val="0"/>
            <w:vAlign w:val="center"/>
          </w:tcPr>
          <w:p>
            <w:pPr>
              <w:widowControl/>
              <w:spacing w:line="320" w:lineRule="exact"/>
              <w:ind w:left="-42" w:leftChars="-20" w:right="-42" w:rightChars="-20"/>
              <w:jc w:val="center"/>
              <w:rPr>
                <w:rFonts w:ascii="宋体" w:hAnsi="宋体" w:cs="宋体"/>
                <w:bCs/>
                <w:kern w:val="21"/>
                <w:szCs w:val="21"/>
              </w:rPr>
            </w:pPr>
            <w:r>
              <w:rPr>
                <w:rFonts w:ascii="宋体" w:hAnsi="宋体" w:cs="宋体"/>
                <w:bCs/>
                <w:kern w:val="21"/>
                <w:szCs w:val="21"/>
              </w:rPr>
              <w:t>6</w:t>
            </w:r>
          </w:p>
        </w:tc>
        <w:tc>
          <w:tcPr>
            <w:tcW w:w="2079" w:type="dxa"/>
            <w:noWrap w:val="0"/>
            <w:vAlign w:val="center"/>
          </w:tcPr>
          <w:p>
            <w:pPr>
              <w:spacing w:line="320" w:lineRule="exact"/>
              <w:ind w:left="-42" w:leftChars="-20" w:right="-42" w:rightChars="-20"/>
              <w:rPr>
                <w:rFonts w:ascii="宋体" w:hAnsi="宋体" w:cs="宋体"/>
                <w:color w:val="000000"/>
                <w:kern w:val="21"/>
                <w:szCs w:val="21"/>
              </w:rPr>
            </w:pPr>
            <w:r>
              <w:rPr>
                <w:rFonts w:hint="eastAsia" w:ascii="宋体" w:hAnsi="宋体"/>
                <w:color w:val="000000"/>
                <w:kern w:val="21"/>
                <w:szCs w:val="21"/>
              </w:rPr>
              <w:t>注射用醋酸兰瑞肽</w:t>
            </w:r>
          </w:p>
        </w:tc>
        <w:tc>
          <w:tcPr>
            <w:tcW w:w="994"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索马杜林</w:t>
            </w:r>
          </w:p>
        </w:tc>
        <w:tc>
          <w:tcPr>
            <w:tcW w:w="813" w:type="dxa"/>
            <w:noWrap w:val="0"/>
            <w:vAlign w:val="center"/>
          </w:tcPr>
          <w:p>
            <w:pPr>
              <w:spacing w:line="320" w:lineRule="exact"/>
              <w:ind w:left="-42" w:leftChars="-20" w:right="-42" w:rightChars="-20"/>
              <w:jc w:val="center"/>
              <w:rPr>
                <w:rFonts w:ascii="宋体" w:hAnsi="宋体" w:cs="宋体"/>
                <w:color w:val="000000"/>
                <w:kern w:val="21"/>
                <w:szCs w:val="21"/>
              </w:rPr>
            </w:pPr>
            <w:r>
              <w:rPr>
                <w:rFonts w:hint="eastAsia" w:ascii="宋体" w:hAnsi="宋体"/>
                <w:color w:val="000000"/>
                <w:kern w:val="21"/>
                <w:szCs w:val="21"/>
              </w:rPr>
              <w:t>注射剂</w:t>
            </w:r>
          </w:p>
        </w:tc>
        <w:tc>
          <w:tcPr>
            <w:tcW w:w="4495" w:type="dxa"/>
            <w:noWrap w:val="0"/>
            <w:vAlign w:val="center"/>
          </w:tcPr>
          <w:p>
            <w:pPr>
              <w:spacing w:line="320" w:lineRule="exact"/>
              <w:ind w:left="-42" w:leftChars="-20" w:right="-42" w:rightChars="-20"/>
              <w:rPr>
                <w:rFonts w:ascii="宋体" w:hAnsi="宋体" w:cs="宋体"/>
                <w:kern w:val="21"/>
                <w:szCs w:val="21"/>
              </w:rPr>
            </w:pPr>
            <w:r>
              <w:rPr>
                <w:rFonts w:hint="eastAsia" w:ascii="宋体" w:hAnsi="宋体"/>
                <w:kern w:val="21"/>
                <w:szCs w:val="21"/>
              </w:rPr>
              <w:t>肢端肥大症的治疗：限用于当手术和</w:t>
            </w:r>
            <w:r>
              <w:rPr>
                <w:rFonts w:ascii="宋体" w:hAnsi="宋体"/>
                <w:kern w:val="21"/>
                <w:szCs w:val="21"/>
              </w:rPr>
              <w:t>/</w:t>
            </w:r>
            <w:r>
              <w:rPr>
                <w:rFonts w:hint="eastAsia" w:ascii="宋体" w:hAnsi="宋体"/>
                <w:kern w:val="21"/>
                <w:szCs w:val="21"/>
              </w:rPr>
              <w:t>或放疗之后生长激素分泌异常时，或不适于手术和</w:t>
            </w:r>
            <w:r>
              <w:rPr>
                <w:rFonts w:ascii="宋体" w:hAnsi="宋体"/>
                <w:kern w:val="21"/>
                <w:szCs w:val="21"/>
              </w:rPr>
              <w:t>/</w:t>
            </w:r>
            <w:r>
              <w:rPr>
                <w:rFonts w:hint="eastAsia" w:ascii="宋体" w:hAnsi="宋体"/>
                <w:kern w:val="21"/>
                <w:szCs w:val="21"/>
              </w:rPr>
              <w:t>或放疗的患者。类癌临床症状的治疗：试验性注射之后。</w:t>
            </w:r>
          </w:p>
        </w:tc>
      </w:tr>
    </w:tbl>
    <w:p>
      <w:pPr>
        <w:spacing w:before="72" w:beforeLines="30" w:line="320" w:lineRule="atLeast"/>
        <w:ind w:firstLine="420" w:firstLineChars="200"/>
        <w:rPr>
          <w:rFonts w:hint="eastAsia" w:ascii="楷体_GB2312" w:hAnsi="宋体" w:eastAsia="楷体_GB2312"/>
          <w:szCs w:val="21"/>
        </w:rPr>
      </w:pPr>
      <w:r>
        <w:rPr>
          <w:rFonts w:hint="eastAsia" w:ascii="楷体_GB2312" w:hAnsi="宋体" w:eastAsia="楷体_GB2312"/>
          <w:szCs w:val="21"/>
        </w:rPr>
        <w:t>备注：以上药品所涉及的慈善援助方案按照最新援助方案执行，应由慈善机构援助的药品费用不纳入重特大疾病补充医疗保险支付范围。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305A2"/>
    <w:rsid w:val="5D0305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2019-03-20T02:43:00Z</dcterms:created>
  <dc:creator>琉璃</dc:creator>
  <cp:lastModifiedBy>琉璃</cp:lastModifiedBy>
  <dcterms:modified xsi:type="dcterms:W3CDTF">2019-03-20T02:43:35Z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