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p>
    <w:p>
      <w:pPr>
        <w:spacing w:after="156" w:afterLines="50" w:line="0" w:lineRule="atLeast"/>
        <w:jc w:val="center"/>
        <w:rPr>
          <w:rFonts w:hint="eastAsia" w:ascii="宋体" w:hAnsi="宋体"/>
          <w:sz w:val="36"/>
          <w:szCs w:val="36"/>
        </w:rPr>
      </w:pPr>
      <w:r>
        <w:rPr>
          <w:rFonts w:hint="eastAsia" w:ascii="宋体" w:hAnsi="宋体" w:cs="宋体"/>
          <w:kern w:val="0"/>
          <w:sz w:val="36"/>
          <w:szCs w:val="36"/>
        </w:rPr>
        <w:t>深圳市道路客运驾驶员诚信评价指标及分值表</w:t>
      </w:r>
    </w:p>
    <w:tbl>
      <w:tblPr>
        <w:tblStyle w:val="6"/>
        <w:tblW w:w="13261" w:type="dxa"/>
        <w:jc w:val="center"/>
        <w:tblInd w:w="0" w:type="dxa"/>
        <w:tblLayout w:type="fixed"/>
        <w:tblCellMar>
          <w:top w:w="0" w:type="dxa"/>
          <w:left w:w="108" w:type="dxa"/>
          <w:bottom w:w="0" w:type="dxa"/>
          <w:right w:w="108" w:type="dxa"/>
        </w:tblCellMar>
      </w:tblPr>
      <w:tblGrid>
        <w:gridCol w:w="507"/>
        <w:gridCol w:w="1012"/>
        <w:gridCol w:w="958"/>
        <w:gridCol w:w="5895"/>
        <w:gridCol w:w="3326"/>
        <w:gridCol w:w="971"/>
        <w:gridCol w:w="592"/>
      </w:tblGrid>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spacing w:val="-4"/>
                <w:kern w:val="21"/>
                <w:szCs w:val="21"/>
              </w:rPr>
            </w:pPr>
            <w:r>
              <w:rPr>
                <w:rFonts w:hint="eastAsia" w:ascii="黑体" w:hAnsi="宋体" w:eastAsia="黑体" w:cs="宋体"/>
                <w:bCs/>
                <w:spacing w:val="-4"/>
                <w:kern w:val="21"/>
                <w:szCs w:val="21"/>
              </w:rPr>
              <w:t>序号</w:t>
            </w:r>
          </w:p>
        </w:tc>
        <w:tc>
          <w:tcPr>
            <w:tcW w:w="101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一级指标</w:t>
            </w:r>
          </w:p>
        </w:tc>
        <w:tc>
          <w:tcPr>
            <w:tcW w:w="9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二级指标</w:t>
            </w:r>
          </w:p>
        </w:tc>
        <w:tc>
          <w:tcPr>
            <w:tcW w:w="58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三级指标</w:t>
            </w:r>
          </w:p>
        </w:tc>
        <w:tc>
          <w:tcPr>
            <w:tcW w:w="33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指标说明</w:t>
            </w:r>
          </w:p>
        </w:tc>
        <w:tc>
          <w:tcPr>
            <w:tcW w:w="971"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考核类别</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分值</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w:t>
            </w:r>
          </w:p>
        </w:tc>
        <w:tc>
          <w:tcPr>
            <w:tcW w:w="101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安全生产</w:t>
            </w:r>
          </w:p>
        </w:tc>
        <w:tc>
          <w:tcPr>
            <w:tcW w:w="95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1.1安全事故</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发生造成1人及以上重伤或死亡的交通事故，且负同等责任及以上的。</w:t>
            </w:r>
          </w:p>
        </w:tc>
        <w:tc>
          <w:tcPr>
            <w:tcW w:w="3326"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发生重大及以上交通事故，未造成人员伤、亡，且负同等责任及以上的。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发生重大及以上交通事故，且负次要责任的。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spacing w:val="-5"/>
                <w:kern w:val="21"/>
                <w:szCs w:val="21"/>
              </w:rPr>
            </w:pPr>
            <w:r>
              <w:rPr>
                <w:rFonts w:hint="eastAsia" w:ascii="宋体" w:hAnsi="宋体" w:cs="宋体"/>
                <w:spacing w:val="-5"/>
                <w:kern w:val="21"/>
                <w:szCs w:val="21"/>
              </w:rPr>
              <w:t>发生一般交通事故，未造成人员伤、亡，且负同等责任及以上的。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发生一般交通事故，且负次要责任的。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1.2安全隐患</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存在重大事故隐患，不立即采取消除措施，继续驾驶的。</w:t>
            </w:r>
          </w:p>
        </w:tc>
        <w:tc>
          <w:tcPr>
            <w:tcW w:w="33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共享公安交警系统道路客运事故信息、交通执法信息，对发生交通事故、安全隐患、交通违法等行为扣分。</w:t>
            </w: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故意破坏卫星定位装置以及恶意人为干扰、屏蔽卫星定位装置信号，或伪造、篡改、删除卫星定位数据的。</w:t>
            </w:r>
          </w:p>
        </w:tc>
        <w:tc>
          <w:tcPr>
            <w:tcW w:w="33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w:t>
            </w:r>
          </w:p>
        </w:tc>
        <w:tc>
          <w:tcPr>
            <w:tcW w:w="10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违反驾驶操作规范，存在安全隐患驾驶行为的。</w:t>
            </w:r>
          </w:p>
        </w:tc>
        <w:tc>
          <w:tcPr>
            <w:tcW w:w="33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9</w:t>
            </w:r>
          </w:p>
        </w:tc>
        <w:tc>
          <w:tcPr>
            <w:tcW w:w="1012"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遵纪守法</w:t>
            </w:r>
          </w:p>
        </w:tc>
        <w:tc>
          <w:tcPr>
            <w:tcW w:w="95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2.1交通违法</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违反道路交通安全违法行为一次记12分的记分项目。</w:t>
            </w:r>
          </w:p>
        </w:tc>
        <w:tc>
          <w:tcPr>
            <w:tcW w:w="33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共享公安交警系统道路客运事故信息、交通执法信息，对发生交通事故、安全隐患、交通违法等行为扣分。</w:t>
            </w: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违反道路交通安全违法行为一次记6分的记分项目。</w:t>
            </w:r>
          </w:p>
        </w:tc>
        <w:tc>
          <w:tcPr>
            <w:tcW w:w="33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11</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违反道路交通安全违法行为一次记3分的记分项目。</w:t>
            </w:r>
          </w:p>
        </w:tc>
        <w:tc>
          <w:tcPr>
            <w:tcW w:w="33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12</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违反道路交通安全违法行为一次记2分的记分项目。</w:t>
            </w:r>
          </w:p>
        </w:tc>
        <w:tc>
          <w:tcPr>
            <w:tcW w:w="33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13</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违反道路交通安全违法行为一次记1分的记分项目。</w:t>
            </w:r>
          </w:p>
        </w:tc>
        <w:tc>
          <w:tcPr>
            <w:tcW w:w="33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14</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2.2营运违章</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非法转让、出租《道路运输证》的。</w:t>
            </w:r>
          </w:p>
        </w:tc>
        <w:tc>
          <w:tcPr>
            <w:tcW w:w="3326"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共享公安交警系统信息、交通执法信息，对存在违反遵纪守法的行为扣分。</w:t>
            </w: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15</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spacing w:val="-5"/>
                <w:kern w:val="21"/>
                <w:szCs w:val="21"/>
              </w:rPr>
            </w:pPr>
            <w:r>
              <w:rPr>
                <w:rFonts w:hint="eastAsia" w:ascii="宋体" w:hAnsi="宋体" w:cs="宋体"/>
                <w:spacing w:val="-5"/>
                <w:kern w:val="21"/>
                <w:szCs w:val="21"/>
              </w:rPr>
              <w:t>驾驶未取得道路客运经营许可的车辆，擅自从事道路客运经营的。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16</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以不正当手段获取驾驶从业资格证件的。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17</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spacing w:val="-5"/>
                <w:kern w:val="21"/>
                <w:szCs w:val="21"/>
              </w:rPr>
            </w:pPr>
            <w:r>
              <w:rPr>
                <w:rFonts w:hint="eastAsia" w:ascii="宋体" w:hAnsi="宋体" w:cs="宋体"/>
                <w:spacing w:val="-5"/>
                <w:kern w:val="21"/>
                <w:szCs w:val="21"/>
              </w:rPr>
              <w:t>使用失效、伪造、变造的从业资格证件，驾驶道路客运车辆的。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18</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超越从业资格证件核定范围，驾驶道路客运车辆的。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19</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驾驶无《道路运输证》的车辆参加道路客运经营的。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使用失效、伪造、变造、被注销等无效的道路运输经营许可证件从事道路客运经营的。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21</w:t>
            </w:r>
          </w:p>
        </w:tc>
        <w:tc>
          <w:tcPr>
            <w:tcW w:w="101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7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70" w:lineRule="exact"/>
              <w:ind w:left="-63" w:leftChars="-30" w:right="-63" w:rightChars="-30"/>
              <w:rPr>
                <w:rFonts w:ascii="宋体" w:hAnsi="宋体" w:cs="宋体"/>
                <w:kern w:val="0"/>
                <w:szCs w:val="21"/>
              </w:rPr>
            </w:pPr>
            <w:r>
              <w:rPr>
                <w:rFonts w:hint="eastAsia" w:ascii="宋体" w:hAnsi="宋体" w:cs="宋体"/>
                <w:kern w:val="0"/>
                <w:szCs w:val="21"/>
              </w:rPr>
              <w:t>将从业资格证件转借他人使用或将道路运输车辆交给无相应从业资格人员驾驶的。</w:t>
            </w:r>
          </w:p>
        </w:tc>
        <w:tc>
          <w:tcPr>
            <w:tcW w:w="332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1"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bl>
    <w:p>
      <w:pPr>
        <w:spacing w:line="240" w:lineRule="exact"/>
        <w:rPr>
          <w:rFonts w:hint="eastAsia"/>
        </w:rPr>
      </w:pPr>
    </w:p>
    <w:tbl>
      <w:tblPr>
        <w:tblStyle w:val="6"/>
        <w:tblW w:w="13261" w:type="dxa"/>
        <w:jc w:val="center"/>
        <w:tblInd w:w="0" w:type="dxa"/>
        <w:tblLayout w:type="fixed"/>
        <w:tblCellMar>
          <w:top w:w="0" w:type="dxa"/>
          <w:left w:w="108" w:type="dxa"/>
          <w:bottom w:w="0" w:type="dxa"/>
          <w:right w:w="108" w:type="dxa"/>
        </w:tblCellMar>
      </w:tblPr>
      <w:tblGrid>
        <w:gridCol w:w="507"/>
        <w:gridCol w:w="1013"/>
        <w:gridCol w:w="958"/>
        <w:gridCol w:w="5894"/>
        <w:gridCol w:w="3325"/>
        <w:gridCol w:w="972"/>
        <w:gridCol w:w="592"/>
      </w:tblGrid>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spacing w:val="-4"/>
                <w:kern w:val="21"/>
                <w:szCs w:val="21"/>
              </w:rPr>
            </w:pPr>
            <w:r>
              <w:rPr>
                <w:rFonts w:hint="eastAsia" w:ascii="黑体" w:hAnsi="宋体" w:eastAsia="黑体" w:cs="宋体"/>
                <w:bCs/>
                <w:spacing w:val="-4"/>
                <w:kern w:val="21"/>
                <w:szCs w:val="21"/>
              </w:rPr>
              <w:t>序号</w:t>
            </w:r>
          </w:p>
        </w:tc>
        <w:tc>
          <w:tcPr>
            <w:tcW w:w="101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一级指标</w:t>
            </w:r>
          </w:p>
        </w:tc>
        <w:tc>
          <w:tcPr>
            <w:tcW w:w="9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二级指标</w:t>
            </w:r>
          </w:p>
        </w:tc>
        <w:tc>
          <w:tcPr>
            <w:tcW w:w="589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三级指标</w:t>
            </w:r>
          </w:p>
        </w:tc>
        <w:tc>
          <w:tcPr>
            <w:tcW w:w="332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指标说明</w:t>
            </w:r>
          </w:p>
        </w:tc>
        <w:tc>
          <w:tcPr>
            <w:tcW w:w="97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考核类别</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分值</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22</w:t>
            </w:r>
          </w:p>
        </w:tc>
        <w:tc>
          <w:tcPr>
            <w:tcW w:w="1013" w:type="dxa"/>
            <w:vMerge w:val="restart"/>
            <w:tcBorders>
              <w:top w:val="nil"/>
              <w:left w:val="single" w:color="auto" w:sz="4" w:space="0"/>
              <w:bottom w:val="nil"/>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遵纪守法</w:t>
            </w:r>
          </w:p>
        </w:tc>
        <w:tc>
          <w:tcPr>
            <w:tcW w:w="958" w:type="dxa"/>
            <w:vMerge w:val="restart"/>
            <w:tcBorders>
              <w:top w:val="nil"/>
              <w:left w:val="single" w:color="auto" w:sz="4" w:space="0"/>
              <w:bottom w:val="nil"/>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2.2营运违章</w:t>
            </w: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客运驾驶员在运行途中强迫、诱骗旅客下车的。</w:t>
            </w:r>
          </w:p>
        </w:tc>
        <w:tc>
          <w:tcPr>
            <w:tcW w:w="3325" w:type="dxa"/>
            <w:vMerge w:val="restart"/>
            <w:tcBorders>
              <w:top w:val="nil"/>
              <w:left w:val="single" w:color="auto" w:sz="4" w:space="0"/>
              <w:bottom w:val="nil"/>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共享公安交警系统信息、交通执法信息，对存在违反遵纪守法的行为扣分。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23</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超越许可事项，从事道路客运经营的。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24</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驾驶的道路客运车辆有超载行为的。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25</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驾驶车辆混装危险货物或国家禁运物品的。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26</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驾驶直通港澳运输车从事境内区间道路运输经营的。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27</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spacing w:val="-2"/>
                <w:kern w:val="0"/>
                <w:szCs w:val="21"/>
              </w:rPr>
              <w:t>本次评价周期内或上一次诚信等级公布后，发现其有弄虚作假、</w:t>
            </w:r>
            <w:r>
              <w:rPr>
                <w:rFonts w:hint="eastAsia" w:ascii="宋体" w:hAnsi="宋体" w:cs="宋体"/>
                <w:kern w:val="0"/>
                <w:szCs w:val="21"/>
              </w:rPr>
              <w:t>隐瞒相关诚信信息的。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28</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spacing w:val="-5"/>
                <w:kern w:val="21"/>
                <w:szCs w:val="21"/>
              </w:rPr>
            </w:pPr>
            <w:r>
              <w:rPr>
                <w:rFonts w:hint="eastAsia" w:ascii="宋体" w:hAnsi="宋体" w:cs="宋体"/>
                <w:spacing w:val="-5"/>
                <w:kern w:val="21"/>
                <w:szCs w:val="21"/>
              </w:rPr>
              <w:t>参加诚信专项继续教育或常规继续教育培训记录情况弄虚作假的。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29</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spacing w:val="-4"/>
                <w:kern w:val="21"/>
                <w:szCs w:val="21"/>
              </w:rPr>
            </w:pPr>
            <w:r>
              <w:rPr>
                <w:rFonts w:hint="eastAsia" w:ascii="宋体" w:hAnsi="宋体" w:cs="宋体"/>
                <w:kern w:val="21"/>
                <w:szCs w:val="21"/>
              </w:rPr>
              <w:t>客运包车未持有效的包车客运标志牌进行经营的，不按照包车</w:t>
            </w:r>
            <w:r>
              <w:rPr>
                <w:rFonts w:hint="eastAsia" w:ascii="宋体" w:hAnsi="宋体" w:cs="宋体"/>
                <w:spacing w:val="-4"/>
                <w:kern w:val="21"/>
                <w:szCs w:val="21"/>
              </w:rPr>
              <w:t>客运标志牌载明的事项运行的，线路两端均不在车籍所在地的，按班车模式定点定线运营的，招揽包车合同以外的旅客乘车的。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30</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客运驾驶员以欺骗、暴力等手段招揽旅客的。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31</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客运驾驶员在旅客运输途中无正当理由擅自变更运输车辆或将旅客转交他人运输的。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32</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驾驶的客运班车不按批准的客运站点停靠或不按规定的线路、班次行驶的。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33</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驾驶的加班车、顶班车、接驳车无正当理由不按原正班车的线路、站点、班次行驶的。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34</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驾驶客运（直通港澳）包车的驾驶员未核实包车的真实性或招揽包车合同外的旅客乘车的。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35</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spacing w:val="-5"/>
                <w:kern w:val="21"/>
                <w:szCs w:val="21"/>
              </w:rPr>
            </w:pPr>
            <w:r>
              <w:rPr>
                <w:rFonts w:hint="eastAsia" w:ascii="宋体" w:hAnsi="宋体" w:cs="宋体"/>
                <w:spacing w:val="-2"/>
                <w:kern w:val="21"/>
                <w:szCs w:val="21"/>
              </w:rPr>
              <w:t>未按照规定使用卫星定位汽车行驶记录仪实时传送相关数据的</w:t>
            </w:r>
            <w:r>
              <w:rPr>
                <w:rFonts w:hint="eastAsia" w:ascii="宋体" w:hAnsi="宋体" w:cs="宋体"/>
                <w:spacing w:val="-5"/>
                <w:kern w:val="21"/>
                <w:szCs w:val="21"/>
              </w:rPr>
              <w:t>。</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36</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造成公路、公路附属设施损坏，拒不接受现场调查处理的。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37</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驾驶未按规定投保承运人责任险的车辆从事道路旅客运输经营活动的。并根据《广东省交通运输厅关于道路运输企业诚信评价的管理办法》将信息列入企业诚信评价中。</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38</w:t>
            </w:r>
          </w:p>
        </w:tc>
        <w:tc>
          <w:tcPr>
            <w:tcW w:w="1013"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nil"/>
              <w:right w:val="single" w:color="auto" w:sz="4" w:space="0"/>
            </w:tcBorders>
            <w:shd w:val="clear" w:color="auto" w:fill="auto"/>
            <w:noWrap w:val="0"/>
            <w:vAlign w:val="center"/>
          </w:tcPr>
          <w:p>
            <w:pPr>
              <w:widowControl/>
              <w:spacing w:line="272"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72" w:lineRule="exact"/>
              <w:ind w:left="-63" w:leftChars="-30" w:right="-63" w:rightChars="-30"/>
              <w:rPr>
                <w:rFonts w:ascii="宋体" w:hAnsi="宋体" w:cs="宋体"/>
                <w:kern w:val="0"/>
                <w:szCs w:val="21"/>
              </w:rPr>
            </w:pPr>
            <w:r>
              <w:rPr>
                <w:rFonts w:hint="eastAsia" w:ascii="宋体" w:hAnsi="宋体" w:cs="宋体"/>
                <w:kern w:val="0"/>
                <w:szCs w:val="21"/>
              </w:rPr>
              <w:t>日间连续驾驶超过4小时，夜间连续驾驶超过2小时；客运驾驶员夜间驾驶车辆速度超过日间限速80%的；未按国家规定停车休息的；每次停车休息时间少于20分钟的。</w:t>
            </w:r>
          </w:p>
        </w:tc>
        <w:tc>
          <w:tcPr>
            <w:tcW w:w="3325" w:type="dxa"/>
            <w:vMerge w:val="continue"/>
            <w:tcBorders>
              <w:top w:val="nil"/>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39</w:t>
            </w:r>
          </w:p>
        </w:tc>
        <w:tc>
          <w:tcPr>
            <w:tcW w:w="10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5894"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kern w:val="0"/>
                <w:szCs w:val="21"/>
              </w:rPr>
            </w:pPr>
            <w:r>
              <w:rPr>
                <w:rFonts w:hint="eastAsia" w:ascii="宋体" w:hAnsi="宋体" w:cs="宋体"/>
                <w:kern w:val="0"/>
                <w:szCs w:val="21"/>
              </w:rPr>
              <w:t>逃避、阻碍执法人员依法检查的。</w:t>
            </w:r>
          </w:p>
        </w:tc>
        <w:tc>
          <w:tcPr>
            <w:tcW w:w="33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bl>
    <w:p>
      <w:pPr>
        <w:spacing w:line="240" w:lineRule="exact"/>
        <w:rPr>
          <w:rFonts w:hint="eastAsia"/>
        </w:rPr>
      </w:pPr>
    </w:p>
    <w:tbl>
      <w:tblPr>
        <w:tblStyle w:val="6"/>
        <w:tblW w:w="13261" w:type="dxa"/>
        <w:jc w:val="center"/>
        <w:tblInd w:w="0" w:type="dxa"/>
        <w:tblLayout w:type="fixed"/>
        <w:tblCellMar>
          <w:top w:w="0" w:type="dxa"/>
          <w:left w:w="108" w:type="dxa"/>
          <w:bottom w:w="0" w:type="dxa"/>
          <w:right w:w="108" w:type="dxa"/>
        </w:tblCellMar>
      </w:tblPr>
      <w:tblGrid>
        <w:gridCol w:w="507"/>
        <w:gridCol w:w="1013"/>
        <w:gridCol w:w="958"/>
        <w:gridCol w:w="5895"/>
        <w:gridCol w:w="3324"/>
        <w:gridCol w:w="972"/>
        <w:gridCol w:w="592"/>
      </w:tblGrid>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spacing w:val="-4"/>
                <w:kern w:val="21"/>
                <w:szCs w:val="21"/>
              </w:rPr>
            </w:pPr>
            <w:r>
              <w:rPr>
                <w:rFonts w:hint="eastAsia" w:ascii="黑体" w:hAnsi="宋体" w:eastAsia="黑体" w:cs="宋体"/>
                <w:bCs/>
                <w:spacing w:val="-4"/>
                <w:kern w:val="21"/>
                <w:szCs w:val="21"/>
              </w:rPr>
              <w:t>序号</w:t>
            </w:r>
          </w:p>
        </w:tc>
        <w:tc>
          <w:tcPr>
            <w:tcW w:w="101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一级指标</w:t>
            </w:r>
          </w:p>
        </w:tc>
        <w:tc>
          <w:tcPr>
            <w:tcW w:w="9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二级指标</w:t>
            </w:r>
          </w:p>
        </w:tc>
        <w:tc>
          <w:tcPr>
            <w:tcW w:w="58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三级指标</w:t>
            </w:r>
          </w:p>
        </w:tc>
        <w:tc>
          <w:tcPr>
            <w:tcW w:w="33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指标说明</w:t>
            </w:r>
          </w:p>
        </w:tc>
        <w:tc>
          <w:tcPr>
            <w:tcW w:w="97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考核类别</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分值</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40</w:t>
            </w:r>
          </w:p>
        </w:tc>
        <w:tc>
          <w:tcPr>
            <w:tcW w:w="101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80" w:lineRule="exact"/>
              <w:ind w:left="-63" w:leftChars="-30" w:right="-63" w:rightChars="-30"/>
              <w:jc w:val="center"/>
              <w:rPr>
                <w:rFonts w:ascii="宋体" w:hAnsi="宋体" w:cs="宋体"/>
                <w:bCs/>
                <w:kern w:val="0"/>
                <w:szCs w:val="21"/>
              </w:rPr>
            </w:pPr>
            <w:r>
              <w:rPr>
                <w:rFonts w:hint="eastAsia" w:ascii="宋体" w:hAnsi="宋体" w:cs="宋体"/>
                <w:bCs/>
                <w:kern w:val="0"/>
                <w:szCs w:val="21"/>
              </w:rPr>
              <w:t>遵纪守法</w:t>
            </w:r>
          </w:p>
        </w:tc>
        <w:tc>
          <w:tcPr>
            <w:tcW w:w="958"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2.2营运违章</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采取故意堵塞固定超限检测站点通行车道、强行通过固定超限检测站点等方式扰乱超限检测秩序的。</w:t>
            </w:r>
          </w:p>
        </w:tc>
        <w:tc>
          <w:tcPr>
            <w:tcW w:w="3324"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共享公安交警系统信息、交通执法信息，对存在违反遵纪守法的行为扣分。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41</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驾驶卫星定位装置出现故障不能保持在线的运输车辆从事经营活动的。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42</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采取短途驳载等方式逃避超限检测的。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43</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驾驶未按规定维护和检测客运车辆的。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44</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驾驶擅自改装或擅自改装已取得《道路运输证》的道路运输车辆的。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45</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驾驶的道路客运车辆，车货总体的外廓尺寸、轴荷或总质量超过公路、公路桥梁、公路隧道、汽车渡船限定标准的。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46</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在继续教育周期内，未完成24学时继续教育的。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47</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办理从业注册登记或变更从业信息手续时存在弄虚作假的。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48</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经营性道路旅客运输驾驶员未按规定填写行车日志的。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49</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班车客运、包车客运和直通港澳的运输车辆未在显著位置挂放标志牌的。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50</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未随身携带驾驶员从业资格证件的。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51</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不按照规定随车携带《道路运输证》的。</w:t>
            </w:r>
          </w:p>
        </w:tc>
        <w:tc>
          <w:tcPr>
            <w:tcW w:w="33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52</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企业报送违规信息。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共享通过省运政系统中企业违规信息，由企业倒查违规时驾车司机并记录上报扣分。不在本表格单独列举“二级指标”中的行为按本项扣3分。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53</w:t>
            </w:r>
          </w:p>
        </w:tc>
        <w:tc>
          <w:tcPr>
            <w:tcW w:w="101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jc w:val="center"/>
              <w:rPr>
                <w:rFonts w:ascii="宋体" w:hAnsi="宋体" w:cs="宋体"/>
                <w:bCs/>
                <w:kern w:val="0"/>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8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外省市抄报运政违章。</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0" w:lineRule="exact"/>
              <w:ind w:left="-63" w:leftChars="-30" w:right="-63" w:rightChars="-30"/>
              <w:rPr>
                <w:rFonts w:ascii="宋体" w:hAnsi="宋体" w:cs="宋体"/>
                <w:kern w:val="0"/>
                <w:szCs w:val="21"/>
              </w:rPr>
            </w:pPr>
            <w:r>
              <w:rPr>
                <w:rFonts w:hint="eastAsia" w:ascii="宋体" w:hAnsi="宋体" w:cs="宋体"/>
                <w:kern w:val="0"/>
                <w:szCs w:val="21"/>
              </w:rPr>
              <w:t>接外省市抄报企业车辆运政违章函后录入诚信管理平台，转辖区局、企业核实。属实的，由企业倒查违规时驾车司机并记录上报扣分。不在本表格单独列举“二级指标”中的行为按本项扣3分。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bl>
    <w:p>
      <w:pPr>
        <w:spacing w:line="240" w:lineRule="exact"/>
        <w:rPr>
          <w:rFonts w:hint="eastAsia"/>
        </w:rPr>
      </w:pPr>
    </w:p>
    <w:p>
      <w:pPr>
        <w:spacing w:line="240" w:lineRule="exact"/>
        <w:rPr>
          <w:rFonts w:hint="eastAsia"/>
        </w:rPr>
      </w:pPr>
    </w:p>
    <w:tbl>
      <w:tblPr>
        <w:tblStyle w:val="6"/>
        <w:tblW w:w="13261" w:type="dxa"/>
        <w:jc w:val="center"/>
        <w:tblInd w:w="0" w:type="dxa"/>
        <w:tblLayout w:type="fixed"/>
        <w:tblCellMar>
          <w:top w:w="0" w:type="dxa"/>
          <w:left w:w="108" w:type="dxa"/>
          <w:bottom w:w="0" w:type="dxa"/>
          <w:right w:w="108" w:type="dxa"/>
        </w:tblCellMar>
      </w:tblPr>
      <w:tblGrid>
        <w:gridCol w:w="507"/>
        <w:gridCol w:w="1013"/>
        <w:gridCol w:w="958"/>
        <w:gridCol w:w="5895"/>
        <w:gridCol w:w="3324"/>
        <w:gridCol w:w="972"/>
        <w:gridCol w:w="592"/>
      </w:tblGrid>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spacing w:val="-4"/>
                <w:kern w:val="21"/>
                <w:szCs w:val="21"/>
              </w:rPr>
            </w:pPr>
            <w:r>
              <w:rPr>
                <w:rFonts w:hint="eastAsia" w:ascii="黑体" w:hAnsi="宋体" w:eastAsia="黑体" w:cs="宋体"/>
                <w:bCs/>
                <w:spacing w:val="-4"/>
                <w:kern w:val="21"/>
                <w:szCs w:val="21"/>
              </w:rPr>
              <w:t>序号</w:t>
            </w:r>
          </w:p>
        </w:tc>
        <w:tc>
          <w:tcPr>
            <w:tcW w:w="101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一级指标</w:t>
            </w:r>
          </w:p>
        </w:tc>
        <w:tc>
          <w:tcPr>
            <w:tcW w:w="9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二级指标</w:t>
            </w:r>
          </w:p>
        </w:tc>
        <w:tc>
          <w:tcPr>
            <w:tcW w:w="58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三级指标</w:t>
            </w:r>
          </w:p>
        </w:tc>
        <w:tc>
          <w:tcPr>
            <w:tcW w:w="33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指标说明</w:t>
            </w:r>
          </w:p>
        </w:tc>
        <w:tc>
          <w:tcPr>
            <w:tcW w:w="97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考核类别</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分值</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54</w:t>
            </w:r>
          </w:p>
        </w:tc>
        <w:tc>
          <w:tcPr>
            <w:tcW w:w="1013" w:type="dxa"/>
            <w:vMerge w:val="restart"/>
            <w:tcBorders>
              <w:top w:val="single" w:color="auto" w:sz="4" w:space="0"/>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szCs w:val="21"/>
              </w:rPr>
            </w:pPr>
            <w:r>
              <w:rPr>
                <w:rFonts w:hint="eastAsia" w:ascii="宋体" w:hAnsi="宋体" w:cs="宋体"/>
                <w:bCs/>
                <w:szCs w:val="21"/>
              </w:rPr>
              <w:t>遵纪守法</w:t>
            </w:r>
          </w:p>
        </w:tc>
        <w:tc>
          <w:tcPr>
            <w:tcW w:w="958"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2.2营运违章</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外省市抄报交通违章。</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zCs w:val="21"/>
              </w:rPr>
              <w:t>共享交警系统企业交通违章信息，由企业倒查违规时驾车司机并记录</w:t>
            </w:r>
            <w:r>
              <w:rPr>
                <w:rFonts w:hint="eastAsia" w:ascii="宋体" w:hAnsi="宋体" w:cs="宋体"/>
                <w:spacing w:val="-6"/>
                <w:szCs w:val="21"/>
              </w:rPr>
              <w:t>上报扣分，不在本表格单独列举“二</w:t>
            </w:r>
            <w:r>
              <w:rPr>
                <w:rFonts w:hint="eastAsia" w:ascii="宋体" w:hAnsi="宋体" w:cs="宋体"/>
                <w:szCs w:val="21"/>
              </w:rPr>
              <w:t>级指标”中的行为按本项扣3分。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55</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执法支队查违信息。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pacing w:val="-4"/>
                <w:szCs w:val="21"/>
              </w:rPr>
              <w:t>共享执法支队查处核实的违法驾驶员</w:t>
            </w:r>
            <w:r>
              <w:rPr>
                <w:rFonts w:hint="eastAsia" w:ascii="宋体" w:hAnsi="宋体" w:cs="宋体"/>
                <w:szCs w:val="21"/>
              </w:rPr>
              <w:t>信息，扣分。不在本表格单独列举</w:t>
            </w:r>
            <w:r>
              <w:rPr>
                <w:rFonts w:hint="eastAsia" w:ascii="宋体" w:hAnsi="宋体" w:cs="宋体"/>
                <w:spacing w:val="-10"/>
                <w:szCs w:val="21"/>
              </w:rPr>
              <w:t>“二级指标”中的行为按本项扣3分。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56</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szCs w:val="21"/>
              </w:rPr>
            </w:pPr>
          </w:p>
        </w:tc>
        <w:tc>
          <w:tcPr>
            <w:tcW w:w="9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辖区局查违信息。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pacing w:val="-8"/>
                <w:szCs w:val="21"/>
              </w:rPr>
              <w:t>共享辖区局查处核实的违法驾驶员信息，扣分。不在本表格单独列举“二</w:t>
            </w:r>
            <w:r>
              <w:rPr>
                <w:rFonts w:hint="eastAsia" w:ascii="宋体" w:hAnsi="宋体" w:cs="宋体"/>
                <w:szCs w:val="21"/>
              </w:rPr>
              <w:t>级指标”中的行为按本项扣3分。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57</w:t>
            </w:r>
          </w:p>
        </w:tc>
        <w:tc>
          <w:tcPr>
            <w:tcW w:w="1013" w:type="dxa"/>
            <w:vMerge w:val="continue"/>
            <w:tcBorders>
              <w:left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bCs/>
                <w:szCs w:val="21"/>
              </w:rPr>
            </w:pPr>
          </w:p>
        </w:tc>
        <w:tc>
          <w:tcPr>
            <w:tcW w:w="9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2.3扰乱秩序</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扰乱社会秩序，造成严重社会不良影响的。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zCs w:val="21"/>
              </w:rPr>
              <w:t>以实际工作资料收集、录入聚集、罢驶、停工等影响社会秩序情况。</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58</w:t>
            </w:r>
          </w:p>
        </w:tc>
        <w:tc>
          <w:tcPr>
            <w:tcW w:w="1013" w:type="dxa"/>
            <w:vMerge w:val="continue"/>
            <w:tcBorders>
              <w:left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聚集、罢驶、停工等造成一般影响社会秩序的。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zCs w:val="21"/>
              </w:rPr>
              <w:t>以实际工作资料收集、录入聚集、罢驶、停工等影响社会秩序情况。</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59</w:t>
            </w:r>
          </w:p>
        </w:tc>
        <w:tc>
          <w:tcPr>
            <w:tcW w:w="1013" w:type="dxa"/>
            <w:vMerge w:val="continue"/>
            <w:tcBorders>
              <w:left w:val="single" w:color="auto" w:sz="4" w:space="0"/>
              <w:bottom w:val="nil"/>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聚众扰乱信访工作秩序的。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zCs w:val="21"/>
              </w:rPr>
              <w:t>以实际工作资料收集、录入聚众扰乱信访工作秩序情况。</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60</w:t>
            </w:r>
          </w:p>
        </w:tc>
        <w:tc>
          <w:tcPr>
            <w:tcW w:w="1013" w:type="dxa"/>
            <w:vMerge w:val="restart"/>
            <w:tcBorders>
              <w:top w:val="single" w:color="auto" w:sz="4" w:space="0"/>
              <w:left w:val="single" w:color="auto" w:sz="4" w:space="0"/>
              <w:right w:val="single" w:color="auto" w:sz="4" w:space="0"/>
            </w:tcBorders>
            <w:shd w:val="clear" w:color="000000" w:fill="FFFFFF"/>
            <w:noWrap w:val="0"/>
            <w:vAlign w:val="center"/>
          </w:tcPr>
          <w:p>
            <w:pPr>
              <w:spacing w:line="260" w:lineRule="exact"/>
              <w:ind w:left="-63" w:leftChars="-30" w:right="-63" w:rightChars="-30"/>
              <w:jc w:val="center"/>
              <w:rPr>
                <w:rFonts w:ascii="宋体" w:hAnsi="宋体" w:cs="宋体"/>
                <w:bCs/>
                <w:szCs w:val="21"/>
              </w:rPr>
            </w:pPr>
            <w:r>
              <w:rPr>
                <w:rFonts w:hint="eastAsia" w:ascii="宋体" w:hAnsi="宋体" w:cs="宋体"/>
                <w:bCs/>
                <w:szCs w:val="21"/>
              </w:rPr>
              <w:t>服务质量</w:t>
            </w:r>
          </w:p>
        </w:tc>
        <w:tc>
          <w:tcPr>
            <w:tcW w:w="95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3.1媒体曝光</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产生重大社会不良影响。</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pacing w:val="-6"/>
                <w:szCs w:val="21"/>
              </w:rPr>
              <w:t>由新闻媒体曝光，产生重大社会不良</w:t>
            </w:r>
            <w:r>
              <w:rPr>
                <w:rFonts w:hint="eastAsia" w:ascii="宋体" w:hAnsi="宋体" w:cs="宋体"/>
                <w:szCs w:val="21"/>
              </w:rPr>
              <w:t>影响的服务质量事件。企业以实际</w:t>
            </w:r>
            <w:r>
              <w:rPr>
                <w:rFonts w:hint="eastAsia" w:ascii="宋体" w:hAnsi="宋体" w:cs="宋体"/>
                <w:spacing w:val="-6"/>
                <w:szCs w:val="21"/>
              </w:rPr>
              <w:t>工作资料收集、录入，辖区局核实。</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61</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产生较大社会不良影响。</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pacing w:val="-4"/>
                <w:szCs w:val="21"/>
              </w:rPr>
              <w:t>由新闻媒体曝光，产生较大社会不良</w:t>
            </w:r>
            <w:r>
              <w:rPr>
                <w:rFonts w:hint="eastAsia" w:ascii="宋体" w:hAnsi="宋体" w:cs="宋体"/>
                <w:szCs w:val="21"/>
              </w:rPr>
              <w:t>影响的服务质量事件。企业以实际</w:t>
            </w:r>
            <w:r>
              <w:rPr>
                <w:rFonts w:hint="eastAsia" w:ascii="宋体" w:hAnsi="宋体" w:cs="宋体"/>
                <w:spacing w:val="-4"/>
                <w:szCs w:val="21"/>
              </w:rPr>
              <w:t>工作资料收集、录入，辖区局核实。</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62</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产生一般社会不良影响。</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pacing w:val="-4"/>
                <w:szCs w:val="21"/>
              </w:rPr>
              <w:t>由新闻媒体曝光，产生一般社会不良</w:t>
            </w:r>
            <w:r>
              <w:rPr>
                <w:rFonts w:hint="eastAsia" w:ascii="宋体" w:hAnsi="宋体" w:cs="宋体"/>
                <w:szCs w:val="21"/>
              </w:rPr>
              <w:t>影响的服务质量事件。企业以实际</w:t>
            </w:r>
            <w:r>
              <w:rPr>
                <w:rFonts w:hint="eastAsia" w:ascii="宋体" w:hAnsi="宋体" w:cs="宋体"/>
                <w:spacing w:val="-4"/>
                <w:szCs w:val="21"/>
              </w:rPr>
              <w:t>工作资料收集、录入，辖区局核实。</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63</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szCs w:val="21"/>
              </w:rPr>
            </w:pPr>
          </w:p>
        </w:tc>
        <w:tc>
          <w:tcPr>
            <w:tcW w:w="958" w:type="dxa"/>
            <w:vMerge w:val="restart"/>
            <w:tcBorders>
              <w:top w:val="nil"/>
              <w:left w:val="single" w:color="auto" w:sz="4" w:space="0"/>
              <w:right w:val="single" w:color="auto" w:sz="4" w:space="0"/>
            </w:tcBorders>
            <w:shd w:val="clear" w:color="000000" w:fill="FFFFFF"/>
            <w:noWrap w:val="0"/>
            <w:vAlign w:val="center"/>
          </w:tcPr>
          <w:p>
            <w:pPr>
              <w:spacing w:line="260" w:lineRule="exact"/>
              <w:ind w:left="-63" w:leftChars="-30" w:right="-63" w:rightChars="-30"/>
              <w:rPr>
                <w:rFonts w:ascii="宋体" w:hAnsi="宋体" w:cs="宋体"/>
                <w:szCs w:val="21"/>
              </w:rPr>
            </w:pPr>
            <w:r>
              <w:rPr>
                <w:rFonts w:hint="eastAsia" w:ascii="宋体" w:hAnsi="宋体" w:cs="宋体"/>
                <w:kern w:val="0"/>
                <w:szCs w:val="21"/>
              </w:rPr>
              <w:t>3.2交通部门通报</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szCs w:val="21"/>
              </w:rPr>
            </w:pPr>
            <w:r>
              <w:rPr>
                <w:rFonts w:hint="eastAsia" w:ascii="宋体" w:hAnsi="宋体" w:cs="宋体"/>
                <w:szCs w:val="21"/>
              </w:rPr>
              <w:t>省级交通部门批评。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szCs w:val="21"/>
              </w:rPr>
            </w:pPr>
            <w:r>
              <w:rPr>
                <w:rFonts w:hint="eastAsia" w:ascii="宋体" w:hAnsi="宋体" w:cs="宋体"/>
                <w:szCs w:val="21"/>
              </w:rPr>
              <w:t>有受省级交通运输主管部门通报批评的服务质量记录的。公共交通局收集、录入。</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szCs w:val="21"/>
              </w:rPr>
            </w:pPr>
            <w:r>
              <w:rPr>
                <w:rFonts w:hint="eastAsia" w:ascii="宋体" w:hAnsi="宋体" w:cs="宋体"/>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64</w:t>
            </w:r>
          </w:p>
        </w:tc>
        <w:tc>
          <w:tcPr>
            <w:tcW w:w="1013"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rPr>
                <w:rFonts w:ascii="宋体" w:hAnsi="宋体" w:cs="宋体"/>
                <w:kern w:val="0"/>
                <w:szCs w:val="21"/>
              </w:rPr>
            </w:pPr>
            <w:r>
              <w:rPr>
                <w:rFonts w:hint="eastAsia" w:ascii="宋体" w:hAnsi="宋体" w:cs="宋体"/>
                <w:kern w:val="0"/>
                <w:szCs w:val="21"/>
              </w:rPr>
              <w:t>市级交通部门批评。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有受市级交通运输主管部门通报批评的服务质量记录的。公共交通局收集、录入。</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bl>
    <w:p>
      <w:pPr>
        <w:spacing w:line="240" w:lineRule="exact"/>
        <w:rPr>
          <w:rFonts w:hint="eastAsia"/>
        </w:rPr>
      </w:pPr>
    </w:p>
    <w:tbl>
      <w:tblPr>
        <w:tblStyle w:val="6"/>
        <w:tblW w:w="13261" w:type="dxa"/>
        <w:jc w:val="center"/>
        <w:tblInd w:w="0" w:type="dxa"/>
        <w:tblLayout w:type="fixed"/>
        <w:tblCellMar>
          <w:top w:w="0" w:type="dxa"/>
          <w:left w:w="108" w:type="dxa"/>
          <w:bottom w:w="0" w:type="dxa"/>
          <w:right w:w="108" w:type="dxa"/>
        </w:tblCellMar>
      </w:tblPr>
      <w:tblGrid>
        <w:gridCol w:w="507"/>
        <w:gridCol w:w="1013"/>
        <w:gridCol w:w="958"/>
        <w:gridCol w:w="5895"/>
        <w:gridCol w:w="3324"/>
        <w:gridCol w:w="972"/>
        <w:gridCol w:w="592"/>
      </w:tblGrid>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spacing w:val="-4"/>
                <w:kern w:val="21"/>
                <w:szCs w:val="21"/>
              </w:rPr>
            </w:pPr>
            <w:r>
              <w:rPr>
                <w:rFonts w:hint="eastAsia" w:ascii="黑体" w:hAnsi="宋体" w:eastAsia="黑体" w:cs="宋体"/>
                <w:bCs/>
                <w:spacing w:val="-4"/>
                <w:kern w:val="21"/>
                <w:szCs w:val="21"/>
              </w:rPr>
              <w:t>序号</w:t>
            </w:r>
          </w:p>
        </w:tc>
        <w:tc>
          <w:tcPr>
            <w:tcW w:w="101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一级指标</w:t>
            </w:r>
          </w:p>
        </w:tc>
        <w:tc>
          <w:tcPr>
            <w:tcW w:w="9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二级指标</w:t>
            </w:r>
          </w:p>
        </w:tc>
        <w:tc>
          <w:tcPr>
            <w:tcW w:w="58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三级指标</w:t>
            </w:r>
          </w:p>
        </w:tc>
        <w:tc>
          <w:tcPr>
            <w:tcW w:w="33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指标说明</w:t>
            </w:r>
          </w:p>
        </w:tc>
        <w:tc>
          <w:tcPr>
            <w:tcW w:w="97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考核类别</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分值</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65</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服务质量</w:t>
            </w:r>
          </w:p>
        </w:tc>
        <w:tc>
          <w:tcPr>
            <w:tcW w:w="95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3.2交通部门通报</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县级交通部门批评。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有受到县级交通运输主管部门通报批评的服务质量记录的。辖区局收集、录入。</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66</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2"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县级以上交通运输主管部门收到有效信访、投诉的。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以实际工作资料收集、查实、录入有效信访、投诉。</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67</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62"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12328信息系统信息。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共享12328信息系统核实的投诉信息，对属实的投诉扣分。不在本表格单独列举“二级指标”中的行为按本项扣3分。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68</w:t>
            </w:r>
          </w:p>
        </w:tc>
        <w:tc>
          <w:tcPr>
            <w:tcW w:w="1013" w:type="dxa"/>
            <w:vMerge w:val="restart"/>
            <w:tcBorders>
              <w:top w:val="nil"/>
              <w:left w:val="single" w:color="auto" w:sz="4" w:space="0"/>
              <w:right w:val="single" w:color="auto" w:sz="4" w:space="0"/>
            </w:tcBorders>
            <w:shd w:val="clear" w:color="000000" w:fill="FFFFFF"/>
            <w:noWrap w:val="0"/>
            <w:vAlign w:val="center"/>
          </w:tcPr>
          <w:p>
            <w:pPr>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荣誉表彰</w:t>
            </w:r>
          </w:p>
        </w:tc>
        <w:tc>
          <w:tcPr>
            <w:tcW w:w="958"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4.1安全先进</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在安全驾驶、营运方面有优秀表现受嘉奖的。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spacing w:val="-4"/>
                <w:kern w:val="0"/>
                <w:szCs w:val="21"/>
              </w:rPr>
              <w:t>在安全驾驶、营运方面有优秀表现，</w:t>
            </w:r>
            <w:r>
              <w:rPr>
                <w:rFonts w:hint="eastAsia" w:ascii="宋体" w:hAnsi="宋体" w:cs="宋体"/>
                <w:kern w:val="21"/>
                <w:szCs w:val="21"/>
              </w:rPr>
              <w:t>受到新闻媒体或政府部门表扬</w:t>
            </w:r>
            <w:r>
              <w:rPr>
                <w:rFonts w:hint="eastAsia" w:ascii="宋体" w:hAnsi="宋体" w:cs="宋体"/>
                <w:kern w:val="0"/>
                <w:szCs w:val="21"/>
              </w:rPr>
              <w:t>、嘉奖的。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69</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4.2守法先进</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在守法驾驶、营运方面有优秀表现受嘉奖的。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spacing w:val="-4"/>
                <w:kern w:val="21"/>
                <w:szCs w:val="21"/>
              </w:rPr>
              <w:t>在守法驾驶、营运方面有优秀表现，</w:t>
            </w:r>
            <w:r>
              <w:rPr>
                <w:rFonts w:hint="eastAsia" w:ascii="宋体" w:hAnsi="宋体" w:cs="宋体"/>
                <w:kern w:val="21"/>
                <w:szCs w:val="21"/>
              </w:rPr>
              <w:t>受到新闻媒体或政府部门表扬、嘉</w:t>
            </w:r>
            <w:r>
              <w:rPr>
                <w:rFonts w:hint="eastAsia" w:ascii="宋体" w:hAnsi="宋体" w:cs="宋体"/>
                <w:kern w:val="0"/>
                <w:szCs w:val="21"/>
              </w:rPr>
              <w:t>奖的。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70</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2"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连续3年及以上诚信等级为AAA级的。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在本市诚信评价方面有优秀表现，以实际诚信评价结果为依据。</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71</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4.3交通部门表彰</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历年诚信等级不低于AA级，且受省级及以上表彰的。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在本市诚信评价方面有优秀表现，且受省级及以上表彰的。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72</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2"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历年诚信等级不低于AA级，且受市级及以上表彰的。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在本市诚信评价方面有优秀表现，且受市级及以上表彰的。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73</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4.4好人好事</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拾金不昧、见义勇为、参加公益任务等有关情况。</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在拾金不昧、见义勇为、积极公益等方面有优秀表现的。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74</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4.5媒体正面报道</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历年诚信等级不低于AA级，受市级及以上新闻媒体正面报道，对行业有较大正面影响的。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在本市诚信评价方面有优秀表现，且受市级及以上新闻媒体正面报道，对行业有较大正面影响的。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75</w:t>
            </w:r>
          </w:p>
        </w:tc>
        <w:tc>
          <w:tcPr>
            <w:tcW w:w="1013" w:type="dxa"/>
            <w:vMerge w:val="continue"/>
            <w:tcBorders>
              <w:left w:val="single" w:color="auto" w:sz="4" w:space="0"/>
              <w:right w:val="single" w:color="auto" w:sz="4" w:space="0"/>
            </w:tcBorders>
            <w:shd w:val="clear" w:color="auto" w:fill="auto"/>
            <w:noWrap w:val="0"/>
            <w:vAlign w:val="center"/>
          </w:tcPr>
          <w:p>
            <w:pPr>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right w:val="single" w:color="auto" w:sz="4" w:space="0"/>
            </w:tcBorders>
            <w:shd w:val="clear" w:color="000000" w:fill="FFFFFF"/>
            <w:noWrap w:val="0"/>
            <w:vAlign w:val="center"/>
          </w:tcPr>
          <w:p>
            <w:pPr>
              <w:spacing w:line="262" w:lineRule="exact"/>
              <w:ind w:left="-63" w:leftChars="-30" w:right="-63" w:rightChars="-30"/>
              <w:rPr>
                <w:rFonts w:ascii="宋体" w:hAnsi="宋体" w:cs="宋体"/>
                <w:kern w:val="21"/>
                <w:szCs w:val="21"/>
              </w:rPr>
            </w:pPr>
            <w:r>
              <w:rPr>
                <w:rFonts w:hint="eastAsia" w:ascii="宋体" w:hAnsi="宋体" w:cs="宋体"/>
                <w:kern w:val="21"/>
                <w:szCs w:val="21"/>
              </w:rPr>
              <w:t>4.6荣誉及嘉奖</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历年诚信等级不低于AA级，且在市级及以上技能鉴定或竞赛中获得高级工的。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在本市诚信评价方面有优秀表现，且在市级及以上技能鉴定或竞赛中获得高级工的。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76</w:t>
            </w:r>
          </w:p>
        </w:tc>
        <w:tc>
          <w:tcPr>
            <w:tcW w:w="1013" w:type="dxa"/>
            <w:vMerge w:val="continue"/>
            <w:tcBorders>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left w:val="single" w:color="auto" w:sz="4" w:space="0"/>
              <w:bottom w:val="single" w:color="000000"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21"/>
                <w:szCs w:val="21"/>
              </w:rPr>
            </w:pPr>
          </w:p>
        </w:tc>
        <w:tc>
          <w:tcPr>
            <w:tcW w:w="58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21"/>
                <w:szCs w:val="21"/>
              </w:rPr>
            </w:pPr>
            <w:r>
              <w:rPr>
                <w:rFonts w:hint="eastAsia" w:ascii="宋体" w:hAnsi="宋体" w:cs="宋体"/>
                <w:kern w:val="21"/>
                <w:szCs w:val="21"/>
              </w:rPr>
              <w:t>因个人表现优异，获得市级及以上“劳模”“杰出青年”等正面影响力的荣誉表彰。</w:t>
            </w:r>
          </w:p>
        </w:tc>
        <w:tc>
          <w:tcPr>
            <w:tcW w:w="33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2" w:lineRule="exact"/>
              <w:ind w:left="-63" w:leftChars="-30" w:right="-63" w:rightChars="-30"/>
              <w:rPr>
                <w:rFonts w:ascii="宋体" w:hAnsi="宋体" w:cs="宋体"/>
                <w:kern w:val="0"/>
                <w:szCs w:val="21"/>
              </w:rPr>
            </w:pPr>
            <w:r>
              <w:rPr>
                <w:rFonts w:hint="eastAsia" w:ascii="宋体" w:hAnsi="宋体" w:cs="宋体"/>
                <w:kern w:val="0"/>
                <w:szCs w:val="21"/>
              </w:rPr>
              <w:t>市级及以上新闻媒体及主管部门嘉奖、表扬或企业核实上报等。</w:t>
            </w:r>
          </w:p>
        </w:tc>
        <w:tc>
          <w:tcPr>
            <w:tcW w:w="97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加分项</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bl>
    <w:p>
      <w:pPr>
        <w:spacing w:line="240" w:lineRule="exact"/>
        <w:rPr>
          <w:rFonts w:hint="eastAsia"/>
        </w:rPr>
      </w:pPr>
    </w:p>
    <w:tbl>
      <w:tblPr>
        <w:tblStyle w:val="6"/>
        <w:tblW w:w="13261" w:type="dxa"/>
        <w:jc w:val="center"/>
        <w:tblInd w:w="0" w:type="dxa"/>
        <w:tblLayout w:type="fixed"/>
        <w:tblCellMar>
          <w:top w:w="0" w:type="dxa"/>
          <w:left w:w="108" w:type="dxa"/>
          <w:bottom w:w="0" w:type="dxa"/>
          <w:right w:w="108" w:type="dxa"/>
        </w:tblCellMar>
      </w:tblPr>
      <w:tblGrid>
        <w:gridCol w:w="507"/>
        <w:gridCol w:w="1013"/>
        <w:gridCol w:w="958"/>
        <w:gridCol w:w="5895"/>
        <w:gridCol w:w="3324"/>
        <w:gridCol w:w="972"/>
        <w:gridCol w:w="592"/>
      </w:tblGrid>
      <w:tr>
        <w:tblPrEx>
          <w:tblLayout w:type="fixed"/>
          <w:tblCellMar>
            <w:top w:w="0" w:type="dxa"/>
            <w:left w:w="108" w:type="dxa"/>
            <w:bottom w:w="0" w:type="dxa"/>
            <w:right w:w="108" w:type="dxa"/>
          </w:tblCellMar>
        </w:tblPrEx>
        <w:trPr>
          <w:trHeight w:val="284" w:hRule="atLeast"/>
          <w:jc w:val="center"/>
        </w:trPr>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spacing w:val="-4"/>
                <w:kern w:val="21"/>
                <w:szCs w:val="21"/>
              </w:rPr>
            </w:pPr>
            <w:r>
              <w:rPr>
                <w:rFonts w:hint="eastAsia" w:ascii="黑体" w:hAnsi="宋体" w:eastAsia="黑体" w:cs="宋体"/>
                <w:bCs/>
                <w:spacing w:val="-4"/>
                <w:kern w:val="21"/>
                <w:szCs w:val="21"/>
              </w:rPr>
              <w:t>序号</w:t>
            </w:r>
          </w:p>
        </w:tc>
        <w:tc>
          <w:tcPr>
            <w:tcW w:w="101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一级指标</w:t>
            </w:r>
          </w:p>
        </w:tc>
        <w:tc>
          <w:tcPr>
            <w:tcW w:w="9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二级指标</w:t>
            </w:r>
          </w:p>
        </w:tc>
        <w:tc>
          <w:tcPr>
            <w:tcW w:w="589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三级指标</w:t>
            </w:r>
          </w:p>
        </w:tc>
        <w:tc>
          <w:tcPr>
            <w:tcW w:w="332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指标说明</w:t>
            </w:r>
          </w:p>
        </w:tc>
        <w:tc>
          <w:tcPr>
            <w:tcW w:w="97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考核类别</w:t>
            </w:r>
          </w:p>
        </w:tc>
        <w:tc>
          <w:tcPr>
            <w:tcW w:w="592"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hint="eastAsia" w:ascii="黑体" w:hAnsi="宋体" w:eastAsia="黑体" w:cs="宋体"/>
                <w:bCs/>
                <w:kern w:val="0"/>
                <w:szCs w:val="21"/>
              </w:rPr>
            </w:pPr>
            <w:r>
              <w:rPr>
                <w:rFonts w:hint="eastAsia" w:ascii="黑体" w:hAnsi="宋体" w:eastAsia="黑体" w:cs="宋体"/>
                <w:bCs/>
                <w:kern w:val="0"/>
                <w:szCs w:val="21"/>
              </w:rPr>
              <w:t>分值</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77</w:t>
            </w:r>
          </w:p>
        </w:tc>
        <w:tc>
          <w:tcPr>
            <w:tcW w:w="101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bCs/>
                <w:kern w:val="0"/>
                <w:szCs w:val="21"/>
              </w:rPr>
            </w:pPr>
            <w:r>
              <w:rPr>
                <w:rFonts w:hint="eastAsia" w:ascii="宋体" w:hAnsi="宋体" w:cs="宋体"/>
                <w:bCs/>
                <w:kern w:val="0"/>
                <w:szCs w:val="21"/>
              </w:rPr>
              <w:t>其他指标</w:t>
            </w:r>
          </w:p>
        </w:tc>
        <w:tc>
          <w:tcPr>
            <w:tcW w:w="95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5.1公民基本信息</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公民基本情况。</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共享公安系统中公民的身份、籍贯等信息。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78</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无犯罪记录。</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共享公安系统中公民无犯罪记录，被依法追究刑事责任的。</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20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79</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共享公安系统中公民无犯罪记录，有一般犯罪记录的视拘留、训诫等情况扣分。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10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80</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5.2营运有关信息</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从业资格基本信息。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共享通过省运政系统中从业资格基本信息。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81</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不服从企业正常管理调度等行为的。</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企业调查、上报，县级交通运输主管部门审核。</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82</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企业评价。</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记录公司对驾驶员正面、负面的评价及信息，如爱心车队、义工等信息，只作记录不考核。</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83</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工作经历。</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驾驶员从事公共交通行业的工作经历记录，只作记录不考核。</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84</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5.3其他机构诚信信息</w:t>
            </w: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银行信息。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共享银行信息中驾驶员诚信信息。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85</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公安信息。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共享公安信息，不在本表格单独列举“二级指标”中的违法违规行为按本项扣5分。</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考核项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86</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医疗信息。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共享医疗信息中驾驶员的医疗诚信信息。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87</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教育信息。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共享教育信息中驾驶员的教育诚信信息。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88</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司法信息。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共享司法信息中驾驶员的司法诚信信息。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284" w:hRule="atLeast"/>
          <w:jc w:val="center"/>
        </w:trPr>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89</w:t>
            </w:r>
          </w:p>
        </w:tc>
        <w:tc>
          <w:tcPr>
            <w:tcW w:w="101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60" w:lineRule="exact"/>
              <w:ind w:left="-63" w:leftChars="-30" w:right="-63" w:rightChars="-30"/>
              <w:jc w:val="center"/>
              <w:rPr>
                <w:rFonts w:ascii="宋体" w:hAnsi="宋体" w:cs="宋体"/>
                <w:bCs/>
                <w:kern w:val="0"/>
                <w:szCs w:val="21"/>
              </w:rPr>
            </w:pPr>
          </w:p>
        </w:tc>
        <w:tc>
          <w:tcPr>
            <w:tcW w:w="95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4" w:lineRule="exact"/>
              <w:ind w:left="-63" w:leftChars="-30" w:right="-63" w:rightChars="-30"/>
              <w:rPr>
                <w:rFonts w:ascii="宋体" w:hAnsi="宋体" w:cs="宋体"/>
                <w:kern w:val="0"/>
                <w:szCs w:val="21"/>
              </w:rPr>
            </w:pPr>
          </w:p>
        </w:tc>
        <w:tc>
          <w:tcPr>
            <w:tcW w:w="5895"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信访信息。</w:t>
            </w:r>
          </w:p>
        </w:tc>
        <w:tc>
          <w:tcPr>
            <w:tcW w:w="3324" w:type="dxa"/>
            <w:tcBorders>
              <w:top w:val="nil"/>
              <w:left w:val="nil"/>
              <w:bottom w:val="single" w:color="auto" w:sz="4" w:space="0"/>
              <w:right w:val="single" w:color="auto" w:sz="4" w:space="0"/>
            </w:tcBorders>
            <w:shd w:val="clear" w:color="000000" w:fill="FFFFFF"/>
            <w:noWrap w:val="0"/>
            <w:vAlign w:val="center"/>
          </w:tcPr>
          <w:p>
            <w:pPr>
              <w:widowControl/>
              <w:spacing w:line="284" w:lineRule="exact"/>
              <w:ind w:left="-63" w:leftChars="-30" w:right="-63" w:rightChars="-30"/>
              <w:rPr>
                <w:rFonts w:ascii="宋体" w:hAnsi="宋体" w:cs="宋体"/>
                <w:kern w:val="0"/>
                <w:szCs w:val="21"/>
              </w:rPr>
            </w:pPr>
            <w:r>
              <w:rPr>
                <w:rFonts w:hint="eastAsia" w:ascii="宋体" w:hAnsi="宋体" w:cs="宋体"/>
                <w:kern w:val="0"/>
                <w:szCs w:val="21"/>
              </w:rPr>
              <w:t>共享信访信息中驾驶员参与违规信访的信息。</w:t>
            </w:r>
          </w:p>
        </w:tc>
        <w:tc>
          <w:tcPr>
            <w:tcW w:w="97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记录项</w:t>
            </w:r>
          </w:p>
        </w:tc>
        <w:tc>
          <w:tcPr>
            <w:tcW w:w="592" w:type="dxa"/>
            <w:tcBorders>
              <w:top w:val="nil"/>
              <w:left w:val="nil"/>
              <w:bottom w:val="single" w:color="auto" w:sz="4" w:space="0"/>
              <w:right w:val="single" w:color="auto" w:sz="4" w:space="0"/>
            </w:tcBorders>
            <w:shd w:val="clear" w:color="000000" w:fill="FFFFFF"/>
            <w:noWrap w:val="0"/>
            <w:vAlign w:val="center"/>
          </w:tcPr>
          <w:p>
            <w:pPr>
              <w:widowControl/>
              <w:spacing w:line="260" w:lineRule="exact"/>
              <w:ind w:left="-63" w:leftChars="-30" w:right="-63" w:rightChars="-30"/>
              <w:jc w:val="center"/>
              <w:rPr>
                <w:rFonts w:ascii="宋体" w:hAnsi="宋体" w:cs="宋体"/>
                <w:kern w:val="0"/>
                <w:szCs w:val="21"/>
              </w:rPr>
            </w:pPr>
            <w:r>
              <w:rPr>
                <w:rFonts w:hint="eastAsia" w:ascii="宋体" w:hAnsi="宋体" w:cs="宋体"/>
                <w:kern w:val="0"/>
                <w:szCs w:val="21"/>
              </w:rPr>
              <w:t>0</w:t>
            </w:r>
          </w:p>
        </w:tc>
      </w:tr>
    </w:tbl>
    <w:p>
      <w:pPr>
        <w:spacing w:line="0" w:lineRule="atLeast"/>
        <w:jc w:val="center"/>
        <w:rPr>
          <w:rFonts w:ascii="宋体" w:hAnsi="宋体"/>
          <w:sz w:val="36"/>
          <w:szCs w:val="36"/>
        </w:rPr>
        <w:sectPr>
          <w:headerReference r:id="rId3" w:type="default"/>
          <w:pgSz w:w="16838" w:h="11906" w:orient="landscape"/>
          <w:pgMar w:top="1418" w:right="1843" w:bottom="1418" w:left="1843" w:header="1304" w:footer="1304" w:gutter="0"/>
          <w:cols w:space="425" w:num="1"/>
          <w:docGrid w:type="lines" w:linePitch="312" w:charSpace="0"/>
        </w:sectPr>
      </w:pPr>
    </w:p>
    <w:p>
      <w:bookmarkStart w:id="0" w:name="_GoBack"/>
      <w:bookmarkEnd w:id="0"/>
    </w:p>
    <w:sectPr>
      <w:pgSz w:w="16838" w:h="11906" w:orient="landscape"/>
      <w:pgMar w:top="1417" w:right="1843" w:bottom="1417" w:left="184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宋体" w:hAnsi="宋体"/>
      </w:rPr>
    </w:pPr>
    <w:r>
      <w:rPr>
        <w:rFonts w:hint="eastAsia" w:ascii="宋体" w:hAnsi="宋体"/>
      </w:rPr>
      <w:t>深圳市人民政府公报                                                                                                                   2019年第6期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D6A2A"/>
    <w:rsid w:val="320D6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2019-02-26T07:32:00Z</dcterms:created>
  <dc:creator>琉璃</dc:creator>
  <cp:lastModifiedBy>琉璃</cp:lastModifiedBy>
  <dcterms:modified xsi:type="dcterms:W3CDTF">2019-02-26T07:40:01Z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