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atLeas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附表</w:t>
      </w:r>
      <w:r>
        <w:rPr>
          <w:rFonts w:ascii="宋体" w:hAnsi="宋体"/>
          <w:sz w:val="24"/>
          <w:szCs w:val="24"/>
        </w:rPr>
        <w:t>1</w:t>
      </w:r>
    </w:p>
    <w:p>
      <w:pPr>
        <w:widowControl/>
        <w:spacing w:after="120" w:afterLines="50" w:line="0" w:lineRule="atLeast"/>
        <w:jc w:val="center"/>
        <w:rPr>
          <w:rFonts w:ascii="宋体" w:hAnsi="宋体"/>
          <w:sz w:val="36"/>
          <w:szCs w:val="36"/>
        </w:rPr>
      </w:pPr>
      <w:bookmarkStart w:id="0" w:name="_GoBack"/>
      <w:r>
        <w:rPr>
          <w:rFonts w:hint="eastAsia" w:ascii="宋体" w:hAnsi="宋体"/>
          <w:sz w:val="36"/>
          <w:szCs w:val="36"/>
        </w:rPr>
        <w:t>专项展示厅验收标准</w:t>
      </w:r>
    </w:p>
    <w:bookmarkEnd w:id="0"/>
    <w:tbl>
      <w:tblPr>
        <w:tblStyle w:val="3"/>
        <w:tblW w:w="8932" w:type="dxa"/>
        <w:jc w:val="center"/>
        <w:tblInd w:w="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3542"/>
        <w:gridCol w:w="2141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4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宋体" w:eastAsia="黑体"/>
                <w:bCs/>
                <w:szCs w:val="21"/>
              </w:rPr>
            </w:pPr>
            <w:r>
              <w:rPr>
                <w:rFonts w:hint="eastAsia" w:ascii="黑体" w:hAnsi="宋体" w:eastAsia="黑体"/>
                <w:bCs/>
                <w:szCs w:val="21"/>
              </w:rPr>
              <w:t>评估维度</w:t>
            </w:r>
          </w:p>
        </w:tc>
        <w:tc>
          <w:tcPr>
            <w:tcW w:w="5683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宋体" w:eastAsia="黑体"/>
                <w:bCs/>
                <w:szCs w:val="21"/>
              </w:rPr>
            </w:pPr>
            <w:r>
              <w:rPr>
                <w:rFonts w:hint="eastAsia" w:ascii="黑体" w:hAnsi="宋体" w:eastAsia="黑体"/>
                <w:bCs/>
                <w:szCs w:val="21"/>
              </w:rPr>
              <w:t>评分标准</w:t>
            </w:r>
          </w:p>
        </w:tc>
        <w:tc>
          <w:tcPr>
            <w:tcW w:w="1795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黑体" w:hAnsi="宋体" w:eastAsia="黑体"/>
                <w:bCs/>
                <w:szCs w:val="21"/>
              </w:rPr>
            </w:pPr>
            <w:r>
              <w:rPr>
                <w:rFonts w:hint="eastAsia" w:ascii="黑体" w:hAnsi="宋体" w:eastAsia="黑体"/>
                <w:bCs/>
                <w:szCs w:val="21"/>
              </w:rPr>
              <w:t>项目总分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4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54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宋体" w:eastAsia="黑体"/>
                <w:bCs/>
                <w:szCs w:val="21"/>
              </w:rPr>
            </w:pPr>
            <w:r>
              <w:rPr>
                <w:rFonts w:hint="eastAsia" w:ascii="黑体" w:hAnsi="宋体" w:eastAsia="黑体"/>
                <w:bCs/>
                <w:szCs w:val="21"/>
              </w:rPr>
              <w:t>评分项目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宋体" w:eastAsia="黑体"/>
                <w:bCs/>
                <w:szCs w:val="21"/>
              </w:rPr>
            </w:pPr>
            <w:r>
              <w:rPr>
                <w:rFonts w:hint="eastAsia" w:ascii="黑体" w:hAnsi="宋体" w:eastAsia="黑体"/>
                <w:bCs/>
                <w:szCs w:val="21"/>
              </w:rPr>
              <w:t>得分</w:t>
            </w:r>
          </w:p>
        </w:tc>
        <w:tc>
          <w:tcPr>
            <w:tcW w:w="179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展示空间</w:t>
            </w:r>
          </w:p>
        </w:tc>
        <w:tc>
          <w:tcPr>
            <w:tcW w:w="3542" w:type="dxa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40－60</w:t>
            </w:r>
            <w:r>
              <w:rPr>
                <w:rFonts w:hint="eastAsia" w:ascii="宋体" w:hAnsi="宋体"/>
                <w:szCs w:val="21"/>
              </w:rPr>
              <w:t>平方米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15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1795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2" w:type="dxa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60</w:t>
            </w:r>
            <w:r>
              <w:rPr>
                <w:rFonts w:hint="eastAsia" w:ascii="宋体" w:hAnsi="宋体"/>
                <w:szCs w:val="21"/>
              </w:rPr>
              <w:t>平方米以上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179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展示内容</w:t>
            </w:r>
          </w:p>
        </w:tc>
        <w:tc>
          <w:tcPr>
            <w:tcW w:w="3542" w:type="dxa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典型制度创新成果及案例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1795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40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2" w:type="dxa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成果和案例取得的改革成效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179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2" w:type="dxa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获得各级部门表彰情况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179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2" w:type="dxa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社会各界对创新成果的评价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179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展示形式</w:t>
            </w:r>
          </w:p>
        </w:tc>
        <w:tc>
          <w:tcPr>
            <w:tcW w:w="3542" w:type="dxa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展板、</w:t>
            </w:r>
            <w:r>
              <w:rPr>
                <w:rFonts w:ascii="宋体" w:hAnsi="宋体"/>
                <w:szCs w:val="21"/>
              </w:rPr>
              <w:t>LED</w:t>
            </w:r>
            <w:r>
              <w:rPr>
                <w:rFonts w:hint="eastAsia" w:ascii="宋体" w:hAnsi="宋体"/>
                <w:szCs w:val="21"/>
              </w:rPr>
              <w:t>屏及解说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1795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40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2" w:type="dxa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宣传视频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1795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2" w:type="dxa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图书、宣传册、折页等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1795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2" w:type="dxa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使用</w:t>
            </w:r>
            <w:r>
              <w:rPr>
                <w:rFonts w:ascii="宋体" w:hAnsi="宋体"/>
                <w:szCs w:val="21"/>
              </w:rPr>
              <w:t>VR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AR</w:t>
            </w:r>
            <w:r>
              <w:rPr>
                <w:rFonts w:hint="eastAsia" w:ascii="宋体" w:hAnsi="宋体"/>
                <w:szCs w:val="21"/>
              </w:rPr>
              <w:t>等新型展示技术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1795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widowControl/>
        <w:spacing w:line="400" w:lineRule="atLeast"/>
        <w:ind w:firstLine="480" w:firstLineChars="200"/>
        <w:rPr>
          <w:rFonts w:hint="eastAsia" w:ascii="宋体" w:hAnsi="宋体"/>
          <w:sz w:val="24"/>
          <w:szCs w:val="24"/>
        </w:rPr>
      </w:pPr>
    </w:p>
    <w:p>
      <w:pPr>
        <w:widowControl/>
        <w:spacing w:line="460" w:lineRule="atLeast"/>
        <w:ind w:firstLine="480" w:firstLineChars="200"/>
        <w:rPr>
          <w:rFonts w:hint="eastAsia" w:ascii="宋体" w:hAnsi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D6233"/>
    <w:rsid w:val="7C5D62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2019-02-26T07:21:00Z</dcterms:created>
  <dc:creator>琉璃</dc:creator>
  <cp:lastModifiedBy>琉璃</cp:lastModifiedBy>
  <dcterms:modified xsi:type="dcterms:W3CDTF">2019-02-26T07:21:37Z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