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1EF" w:rsidRDefault="003D31EF" w:rsidP="003D31EF">
      <w:pPr>
        <w:spacing w:line="400" w:lineRule="atLeast"/>
        <w:rPr>
          <w:rFonts w:ascii="宋体" w:hAnsi="宋体"/>
          <w:sz w:val="24"/>
          <w:szCs w:val="24"/>
        </w:rPr>
      </w:pPr>
      <w:r>
        <w:rPr>
          <w:rFonts w:ascii="宋体" w:hAnsi="宋体" w:hint="eastAsia"/>
          <w:sz w:val="24"/>
          <w:szCs w:val="24"/>
        </w:rPr>
        <w:t>附件1</w:t>
      </w:r>
    </w:p>
    <w:p w:rsidR="003D31EF" w:rsidRDefault="003D31EF" w:rsidP="003D31EF">
      <w:pPr>
        <w:spacing w:line="0" w:lineRule="atLeast"/>
        <w:jc w:val="center"/>
        <w:rPr>
          <w:rFonts w:ascii="宋体" w:hAnsi="宋体" w:hint="eastAsia"/>
          <w:bCs/>
          <w:sz w:val="36"/>
          <w:szCs w:val="36"/>
        </w:rPr>
      </w:pPr>
      <w:r>
        <w:rPr>
          <w:rFonts w:ascii="宋体" w:hAnsi="宋体" w:hint="eastAsia"/>
          <w:bCs/>
          <w:sz w:val="36"/>
          <w:szCs w:val="36"/>
        </w:rPr>
        <w:t>深圳市装配式建筑评分规则</w:t>
      </w:r>
      <w:bookmarkStart w:id="0" w:name="_GoBack"/>
      <w:bookmarkEnd w:id="0"/>
    </w:p>
    <w:p w:rsidR="003D31EF" w:rsidRDefault="003D31EF" w:rsidP="003D31EF">
      <w:pPr>
        <w:spacing w:line="396" w:lineRule="atLeast"/>
        <w:ind w:firstLineChars="200" w:firstLine="480"/>
        <w:rPr>
          <w:rFonts w:ascii="黑体" w:eastAsia="黑体" w:hAnsi="宋体" w:cs="黑体" w:hint="eastAsia"/>
          <w:bCs/>
          <w:sz w:val="24"/>
          <w:szCs w:val="24"/>
        </w:rPr>
      </w:pPr>
      <w:r>
        <w:rPr>
          <w:rFonts w:ascii="黑体" w:eastAsia="黑体" w:hAnsi="宋体" w:cs="黑体" w:hint="eastAsia"/>
          <w:bCs/>
          <w:sz w:val="24"/>
          <w:szCs w:val="24"/>
        </w:rPr>
        <w:t>一、一般规定</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（一）本评分规则适用于深圳市装配式混凝土建筑、装配式钢结构建筑的技术</w:t>
      </w:r>
      <w:r>
        <w:rPr>
          <w:rFonts w:ascii="宋体" w:hAnsi="宋体" w:hint="eastAsia"/>
          <w:sz w:val="24"/>
          <w:szCs w:val="24"/>
        </w:rPr>
        <w:t>评分</w:t>
      </w:r>
      <w:r>
        <w:rPr>
          <w:rFonts w:ascii="宋体" w:hAnsi="宋体" w:cs="仿宋_GB2312" w:hint="eastAsia"/>
          <w:sz w:val="24"/>
          <w:szCs w:val="24"/>
        </w:rPr>
        <w:t>，装配式木结构等其它类型装配式建筑的技术</w:t>
      </w:r>
      <w:r>
        <w:rPr>
          <w:rFonts w:ascii="宋体" w:hAnsi="宋体" w:hint="eastAsia"/>
          <w:sz w:val="24"/>
          <w:szCs w:val="24"/>
        </w:rPr>
        <w:t>评分</w:t>
      </w:r>
      <w:r>
        <w:rPr>
          <w:rFonts w:ascii="宋体" w:hAnsi="宋体" w:cs="仿宋_GB2312" w:hint="eastAsia"/>
          <w:sz w:val="24"/>
          <w:szCs w:val="24"/>
        </w:rPr>
        <w:t>可参照执行。</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（二）装配式建筑评分以单体建筑（室外地坪以上）作为基本单元，并应符合下列规定：</w:t>
      </w:r>
    </w:p>
    <w:p w:rsidR="003D31EF" w:rsidRDefault="003D31EF" w:rsidP="003D31EF">
      <w:pPr>
        <w:spacing w:line="396" w:lineRule="atLeast"/>
        <w:ind w:firstLineChars="200" w:firstLine="480"/>
        <w:rPr>
          <w:rFonts w:ascii="宋体" w:hAnsi="宋体" w:hint="eastAsia"/>
          <w:sz w:val="24"/>
          <w:szCs w:val="24"/>
        </w:rPr>
      </w:pPr>
      <w:r>
        <w:rPr>
          <w:rFonts w:ascii="宋体" w:hAnsi="宋体" w:hint="eastAsia"/>
          <w:sz w:val="24"/>
          <w:szCs w:val="24"/>
        </w:rPr>
        <w:t>1．单体建筑应按项目规划审批图纸的建筑编号确认。</w:t>
      </w:r>
    </w:p>
    <w:p w:rsidR="003D31EF" w:rsidRDefault="003D31EF" w:rsidP="003D31EF">
      <w:pPr>
        <w:spacing w:line="396" w:lineRule="atLeast"/>
        <w:ind w:firstLineChars="200" w:firstLine="480"/>
        <w:rPr>
          <w:rFonts w:ascii="宋体" w:hAnsi="宋体" w:hint="eastAsia"/>
          <w:sz w:val="24"/>
          <w:szCs w:val="24"/>
        </w:rPr>
      </w:pPr>
      <w:r>
        <w:rPr>
          <w:rFonts w:ascii="宋体" w:hAnsi="宋体" w:hint="eastAsia"/>
          <w:sz w:val="24"/>
          <w:szCs w:val="24"/>
        </w:rPr>
        <w:t>2．</w:t>
      </w:r>
      <w:r>
        <w:rPr>
          <w:rFonts w:ascii="宋体" w:hAnsi="宋体" w:hint="eastAsia"/>
          <w:spacing w:val="2"/>
          <w:sz w:val="24"/>
          <w:szCs w:val="24"/>
        </w:rPr>
        <w:t>单体建筑由主楼和裙房组成时，主楼和裙房可按不同的单体建筑进行技术评</w:t>
      </w:r>
      <w:r>
        <w:rPr>
          <w:rFonts w:ascii="宋体" w:hAnsi="宋体" w:hint="eastAsia"/>
          <w:sz w:val="24"/>
          <w:szCs w:val="24"/>
        </w:rPr>
        <w:t>分，主楼应满足本评分规则。</w:t>
      </w:r>
    </w:p>
    <w:p w:rsidR="003D31EF" w:rsidRDefault="003D31EF" w:rsidP="003D31EF">
      <w:pPr>
        <w:spacing w:line="396" w:lineRule="atLeast"/>
        <w:ind w:firstLineChars="200" w:firstLine="480"/>
        <w:rPr>
          <w:rFonts w:ascii="宋体" w:hAnsi="宋体" w:hint="eastAsia"/>
          <w:sz w:val="24"/>
          <w:szCs w:val="24"/>
        </w:rPr>
      </w:pPr>
      <w:r>
        <w:rPr>
          <w:rFonts w:ascii="宋体" w:hAnsi="宋体" w:hint="eastAsia"/>
          <w:sz w:val="24"/>
          <w:szCs w:val="24"/>
        </w:rPr>
        <w:t>3．层数不大于3层且地上建筑面积不超过500平方米的单体建筑，可按多个单体建筑组成建筑组团进行技术评分。</w:t>
      </w:r>
    </w:p>
    <w:p w:rsidR="003D31EF" w:rsidRDefault="003D31EF" w:rsidP="003D31EF">
      <w:pPr>
        <w:spacing w:line="396" w:lineRule="atLeast"/>
        <w:ind w:firstLineChars="200" w:firstLine="480"/>
        <w:rPr>
          <w:rFonts w:ascii="宋体" w:hAnsi="宋体" w:hint="eastAsia"/>
          <w:sz w:val="24"/>
          <w:szCs w:val="24"/>
        </w:rPr>
      </w:pPr>
      <w:r>
        <w:rPr>
          <w:rFonts w:ascii="宋体" w:hAnsi="宋体" w:hint="eastAsia"/>
          <w:sz w:val="24"/>
          <w:szCs w:val="24"/>
        </w:rPr>
        <w:t>4．架空层、结构转换层、屋面层、避难层、设备层等非标准层宜与标准层装配式建筑设计保持延续性。</w:t>
      </w:r>
    </w:p>
    <w:p w:rsidR="003D31EF" w:rsidRDefault="003D31EF" w:rsidP="003D31EF">
      <w:pPr>
        <w:spacing w:line="396" w:lineRule="atLeast"/>
        <w:ind w:firstLineChars="200" w:firstLine="480"/>
        <w:rPr>
          <w:rFonts w:ascii="黑体" w:eastAsia="黑体" w:hAnsi="宋体" w:cs="黑体" w:hint="eastAsia"/>
          <w:bCs/>
          <w:sz w:val="24"/>
          <w:szCs w:val="24"/>
        </w:rPr>
      </w:pPr>
      <w:r>
        <w:rPr>
          <w:rFonts w:ascii="黑体" w:eastAsia="黑体" w:hAnsi="宋体" w:cs="黑体" w:hint="eastAsia"/>
          <w:bCs/>
          <w:sz w:val="24"/>
          <w:szCs w:val="24"/>
        </w:rPr>
        <w:t>二、技术评分表和基本要求</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（一）技术评分表。</w:t>
      </w:r>
    </w:p>
    <w:p w:rsidR="003D31EF" w:rsidRDefault="003D31EF" w:rsidP="003D31EF">
      <w:pPr>
        <w:spacing w:line="396" w:lineRule="atLeast"/>
        <w:ind w:firstLineChars="200" w:firstLine="480"/>
        <w:rPr>
          <w:rFonts w:ascii="宋体" w:hAnsi="宋体" w:hint="eastAsia"/>
          <w:sz w:val="24"/>
          <w:szCs w:val="24"/>
        </w:rPr>
      </w:pPr>
      <w:r>
        <w:rPr>
          <w:rFonts w:ascii="宋体" w:hAnsi="宋体" w:hint="eastAsia"/>
          <w:sz w:val="24"/>
          <w:szCs w:val="24"/>
        </w:rPr>
        <w:t>装配式混凝土建筑、装配式钢结构建筑按照表1和表2分别进行技术评分，在满足各技术项最低分值要求的前提下，技术总评分不低于50分的可认定为装配式建筑。</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技术总评分＝（各技术</w:t>
      </w:r>
      <w:proofErr w:type="gramStart"/>
      <w:r>
        <w:rPr>
          <w:rFonts w:ascii="宋体" w:hAnsi="宋体" w:cs="仿宋_GB2312" w:hint="eastAsia"/>
          <w:sz w:val="24"/>
          <w:szCs w:val="24"/>
        </w:rPr>
        <w:t>项实际</w:t>
      </w:r>
      <w:proofErr w:type="gramEnd"/>
      <w:r>
        <w:rPr>
          <w:rFonts w:ascii="宋体" w:hAnsi="宋体" w:cs="仿宋_GB2312" w:hint="eastAsia"/>
          <w:sz w:val="24"/>
          <w:szCs w:val="24"/>
        </w:rPr>
        <w:t>得分总和）÷（100—缺少项分值总和）×100＋加分项得分。</w:t>
      </w:r>
    </w:p>
    <w:p w:rsidR="003D31EF" w:rsidRDefault="003D31EF" w:rsidP="003D31EF">
      <w:pPr>
        <w:spacing w:beforeLines="50" w:before="156" w:afterLines="50" w:after="156" w:line="0" w:lineRule="atLeast"/>
        <w:jc w:val="center"/>
        <w:rPr>
          <w:rFonts w:ascii="黑体" w:eastAsia="黑体" w:hAnsi="宋体" w:hint="eastAsia"/>
          <w:bCs/>
          <w:sz w:val="24"/>
          <w:szCs w:val="24"/>
        </w:rPr>
      </w:pPr>
      <w:r>
        <w:rPr>
          <w:rFonts w:ascii="黑体" w:eastAsia="黑体" w:hAnsi="宋体" w:hint="eastAsia"/>
          <w:bCs/>
          <w:sz w:val="24"/>
          <w:szCs w:val="24"/>
        </w:rPr>
        <w:t>表1  装配式混凝土建筑技术评分表</w:t>
      </w:r>
    </w:p>
    <w:tbl>
      <w:tblPr>
        <w:tblW w:w="4950" w:type="pct"/>
        <w:jc w:val="center"/>
        <w:tblLayout w:type="fixed"/>
        <w:tblLook w:val="04A0" w:firstRow="1" w:lastRow="0" w:firstColumn="1" w:lastColumn="0" w:noHBand="0" w:noVBand="1"/>
      </w:tblPr>
      <w:tblGrid>
        <w:gridCol w:w="1059"/>
        <w:gridCol w:w="2001"/>
        <w:gridCol w:w="3487"/>
        <w:gridCol w:w="1007"/>
        <w:gridCol w:w="883"/>
      </w:tblGrid>
      <w:tr w:rsidR="003D31EF" w:rsidTr="003D31EF">
        <w:trPr>
          <w:trHeight w:val="284"/>
          <w:jc w:val="center"/>
        </w:trPr>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技术项</w:t>
            </w:r>
          </w:p>
        </w:tc>
        <w:tc>
          <w:tcPr>
            <w:tcW w:w="378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技术要求</w:t>
            </w:r>
          </w:p>
        </w:tc>
        <w:tc>
          <w:tcPr>
            <w:tcW w:w="1077"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得分</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最低分值</w:t>
            </w:r>
          </w:p>
        </w:tc>
      </w:tr>
      <w:tr w:rsidR="003D31EF" w:rsidTr="003D31EF">
        <w:trPr>
          <w:trHeight w:val="284"/>
          <w:jc w:val="center"/>
        </w:trPr>
        <w:tc>
          <w:tcPr>
            <w:tcW w:w="1134"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bCs/>
                <w:spacing w:val="-2"/>
                <w:szCs w:val="21"/>
              </w:rPr>
            </w:pPr>
            <w:r>
              <w:rPr>
                <w:rFonts w:ascii="宋体" w:hAnsi="宋体" w:cs="仿宋_GB2312" w:hint="eastAsia"/>
                <w:bCs/>
                <w:spacing w:val="-2"/>
                <w:szCs w:val="21"/>
              </w:rPr>
              <w:t>标准化设计（5分）</w:t>
            </w: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*户型标准化</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标准化户型应用比例≥80%，或单一户型比例≥60%</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2</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构件标准化</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60%≤标准化构件应用比例≤80%</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1～3</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1</w:t>
            </w:r>
          </w:p>
        </w:tc>
      </w:tr>
      <w:tr w:rsidR="003D31EF" w:rsidTr="003D31EF">
        <w:trPr>
          <w:trHeight w:val="284"/>
          <w:jc w:val="center"/>
        </w:trPr>
        <w:tc>
          <w:tcPr>
            <w:tcW w:w="1134"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bCs/>
                <w:spacing w:val="-2"/>
                <w:szCs w:val="21"/>
              </w:rPr>
            </w:pPr>
            <w:r>
              <w:rPr>
                <w:rFonts w:ascii="宋体" w:hAnsi="宋体" w:cs="仿宋_GB2312" w:hint="eastAsia"/>
                <w:bCs/>
                <w:spacing w:val="-2"/>
                <w:szCs w:val="21"/>
              </w:rPr>
              <w:t>主体结构工程</w:t>
            </w:r>
          </w:p>
          <w:p w:rsidR="003D31EF" w:rsidRDefault="003D31EF">
            <w:pPr>
              <w:widowControl/>
              <w:spacing w:line="284" w:lineRule="exact"/>
              <w:ind w:leftChars="-30" w:left="-63" w:rightChars="-30" w:right="-63"/>
              <w:jc w:val="center"/>
              <w:rPr>
                <w:rFonts w:ascii="宋体" w:hAnsi="宋体" w:cs="仿宋_GB2312"/>
                <w:bCs/>
                <w:spacing w:val="-2"/>
                <w:szCs w:val="21"/>
              </w:rPr>
            </w:pPr>
            <w:r>
              <w:rPr>
                <w:rFonts w:ascii="宋体" w:hAnsi="宋体" w:cs="仿宋_GB2312" w:hint="eastAsia"/>
                <w:bCs/>
                <w:spacing w:val="-2"/>
                <w:szCs w:val="21"/>
              </w:rPr>
              <w:t>（40分）</w:t>
            </w: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竖向构件</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① 35%≤竖向构件比例≤80%</w:t>
            </w:r>
          </w:p>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② 5%≤竖向构件比例＜35%，非预制构件部分应采用装配式模板工艺</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① 10～20</w:t>
            </w:r>
          </w:p>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② 10～15</w:t>
            </w:r>
          </w:p>
        </w:tc>
        <w:tc>
          <w:tcPr>
            <w:tcW w:w="941"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20</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水平构件</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① 70%≤水平构件比例≤80%</w:t>
            </w:r>
          </w:p>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② 10%≤水平构件比例＜70%，非预制构件部分应采用装配式模板工艺</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① 10～15</w:t>
            </w:r>
          </w:p>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② 5～15</w:t>
            </w:r>
          </w:p>
        </w:tc>
        <w:tc>
          <w:tcPr>
            <w:tcW w:w="941"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szCs w:val="21"/>
              </w:rPr>
            </w:pP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装配化施工</w:t>
            </w:r>
          </w:p>
        </w:tc>
        <w:tc>
          <w:tcPr>
            <w:tcW w:w="378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共3项，按满足项数评分</w:t>
            </w:r>
          </w:p>
        </w:tc>
        <w:tc>
          <w:tcPr>
            <w:tcW w:w="1077"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1～5</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bCs/>
                <w:spacing w:val="-2"/>
                <w:szCs w:val="21"/>
              </w:rPr>
            </w:pPr>
            <w:r>
              <w:rPr>
                <w:rFonts w:ascii="宋体" w:hAnsi="宋体" w:cs="仿宋_GB2312" w:hint="eastAsia"/>
                <w:bCs/>
                <w:spacing w:val="-2"/>
                <w:szCs w:val="21"/>
              </w:rPr>
              <w:t>围护墙和内隔墙</w:t>
            </w:r>
          </w:p>
          <w:p w:rsidR="003D31EF" w:rsidRDefault="003D31EF">
            <w:pPr>
              <w:widowControl/>
              <w:spacing w:line="284" w:lineRule="exact"/>
              <w:ind w:leftChars="-30" w:left="-63" w:rightChars="-30" w:right="-63"/>
              <w:jc w:val="center"/>
              <w:rPr>
                <w:rFonts w:ascii="宋体" w:hAnsi="宋体" w:cs="仿宋_GB2312"/>
                <w:bCs/>
                <w:spacing w:val="-2"/>
                <w:szCs w:val="21"/>
              </w:rPr>
            </w:pPr>
            <w:r>
              <w:rPr>
                <w:rFonts w:ascii="宋体" w:hAnsi="宋体" w:cs="仿宋_GB2312" w:hint="eastAsia"/>
                <w:bCs/>
                <w:spacing w:val="-2"/>
                <w:szCs w:val="21"/>
              </w:rPr>
              <w:t>（20分）</w:t>
            </w: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外墙非砌筑、免抹灰</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80%≤外墙非砌筑、免抹灰比例≤100%</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5～8</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5</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外墙与装饰、保温隔热一体化</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共5项，按满足项数评分</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1～5</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内</w:t>
            </w:r>
            <w:proofErr w:type="gramStart"/>
            <w:r>
              <w:rPr>
                <w:rFonts w:ascii="宋体" w:hAnsi="宋体" w:cs="仿宋_GB2312" w:hint="eastAsia"/>
                <w:szCs w:val="21"/>
              </w:rPr>
              <w:t>隔墙非</w:t>
            </w:r>
            <w:proofErr w:type="gramEnd"/>
            <w:r>
              <w:rPr>
                <w:rFonts w:ascii="宋体" w:hAnsi="宋体" w:cs="仿宋_GB2312" w:hint="eastAsia"/>
                <w:szCs w:val="21"/>
              </w:rPr>
              <w:t>砌筑、免抹</w:t>
            </w:r>
            <w:r>
              <w:rPr>
                <w:rFonts w:ascii="宋体" w:hAnsi="宋体" w:cs="仿宋_GB2312" w:hint="eastAsia"/>
                <w:szCs w:val="21"/>
              </w:rPr>
              <w:lastRenderedPageBreak/>
              <w:t>灰</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lastRenderedPageBreak/>
              <w:t>70%≤内</w:t>
            </w:r>
            <w:proofErr w:type="gramStart"/>
            <w:r>
              <w:rPr>
                <w:rFonts w:ascii="宋体" w:hAnsi="宋体" w:cs="仿宋_GB2312" w:hint="eastAsia"/>
                <w:szCs w:val="21"/>
              </w:rPr>
              <w:t>隔墙非</w:t>
            </w:r>
            <w:proofErr w:type="gramEnd"/>
            <w:r>
              <w:rPr>
                <w:rFonts w:ascii="宋体" w:hAnsi="宋体" w:cs="仿宋_GB2312" w:hint="eastAsia"/>
                <w:szCs w:val="21"/>
              </w:rPr>
              <w:t>砌筑、免抹灰比例≤</w:t>
            </w:r>
            <w:r>
              <w:rPr>
                <w:rFonts w:ascii="宋体" w:hAnsi="宋体" w:cs="仿宋_GB2312" w:hint="eastAsia"/>
                <w:szCs w:val="21"/>
              </w:rPr>
              <w:lastRenderedPageBreak/>
              <w:t>100%</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lastRenderedPageBreak/>
              <w:t>5～7</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5</w:t>
            </w:r>
          </w:p>
        </w:tc>
      </w:tr>
      <w:tr w:rsidR="003D31EF" w:rsidTr="003D31EF">
        <w:trPr>
          <w:trHeight w:val="284"/>
          <w:jc w:val="center"/>
        </w:trPr>
        <w:tc>
          <w:tcPr>
            <w:tcW w:w="1134"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bCs/>
                <w:spacing w:val="-2"/>
                <w:szCs w:val="21"/>
              </w:rPr>
            </w:pPr>
            <w:r>
              <w:rPr>
                <w:rFonts w:ascii="宋体" w:hAnsi="宋体" w:cs="仿宋_GB2312" w:hint="eastAsia"/>
                <w:bCs/>
                <w:spacing w:val="-2"/>
                <w:szCs w:val="21"/>
              </w:rPr>
              <w:lastRenderedPageBreak/>
              <w:t>装修和机电（30分）</w:t>
            </w: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全装修</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按满足要求评分</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6</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6</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*集成厨房</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共3项，按满足项数评分</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1～4</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集成卫生间</w:t>
            </w:r>
          </w:p>
        </w:tc>
        <w:tc>
          <w:tcPr>
            <w:tcW w:w="3780"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共4项，按满足项数评分</w:t>
            </w:r>
          </w:p>
        </w:tc>
        <w:tc>
          <w:tcPr>
            <w:tcW w:w="1077" w:type="dxa"/>
            <w:tcBorders>
              <w:top w:val="nil"/>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1～8</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干式工法</w:t>
            </w:r>
          </w:p>
        </w:tc>
        <w:tc>
          <w:tcPr>
            <w:tcW w:w="378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共4项，按满足项数评分</w:t>
            </w:r>
          </w:p>
        </w:tc>
        <w:tc>
          <w:tcPr>
            <w:tcW w:w="1077"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1～4</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机电装修一体化、管线分离</w:t>
            </w:r>
          </w:p>
        </w:tc>
        <w:tc>
          <w:tcPr>
            <w:tcW w:w="378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共3项，按满足项数评分</w:t>
            </w:r>
          </w:p>
        </w:tc>
        <w:tc>
          <w:tcPr>
            <w:tcW w:w="1077"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2～5</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*穿插流水施工</w:t>
            </w:r>
          </w:p>
        </w:tc>
        <w:tc>
          <w:tcPr>
            <w:tcW w:w="378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按满足要求评分</w:t>
            </w:r>
          </w:p>
        </w:tc>
        <w:tc>
          <w:tcPr>
            <w:tcW w:w="1077"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3</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bCs/>
                <w:spacing w:val="-2"/>
                <w:szCs w:val="21"/>
              </w:rPr>
            </w:pPr>
            <w:r>
              <w:rPr>
                <w:rFonts w:ascii="宋体" w:hAnsi="宋体" w:cs="仿宋_GB2312" w:hint="eastAsia"/>
                <w:bCs/>
                <w:spacing w:val="-2"/>
                <w:szCs w:val="21"/>
              </w:rPr>
              <w:t>信息化应用（5分）</w:t>
            </w:r>
          </w:p>
        </w:tc>
        <w:tc>
          <w:tcPr>
            <w:tcW w:w="216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BIM应用</w:t>
            </w:r>
          </w:p>
        </w:tc>
        <w:tc>
          <w:tcPr>
            <w:tcW w:w="378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按建设各阶段BIM应用情况评分</w:t>
            </w:r>
          </w:p>
        </w:tc>
        <w:tc>
          <w:tcPr>
            <w:tcW w:w="1077"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1～3</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1</w:t>
            </w:r>
          </w:p>
        </w:tc>
      </w:tr>
      <w:tr w:rsidR="003D31EF" w:rsidTr="003D31EF">
        <w:trPr>
          <w:trHeight w:val="284"/>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pacing w:val="-2"/>
                <w:szCs w:val="21"/>
              </w:rPr>
            </w:pPr>
          </w:p>
        </w:tc>
        <w:tc>
          <w:tcPr>
            <w:tcW w:w="216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信息化管理</w:t>
            </w:r>
          </w:p>
        </w:tc>
        <w:tc>
          <w:tcPr>
            <w:tcW w:w="3780"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rPr>
                <w:rFonts w:ascii="宋体" w:hAnsi="宋体" w:cs="仿宋_GB2312"/>
                <w:szCs w:val="21"/>
              </w:rPr>
            </w:pPr>
            <w:r>
              <w:rPr>
                <w:rFonts w:ascii="宋体" w:hAnsi="宋体" w:cs="仿宋_GB2312" w:hint="eastAsia"/>
                <w:szCs w:val="21"/>
              </w:rPr>
              <w:t>按建设各阶段信息化管理情况评分</w:t>
            </w:r>
          </w:p>
        </w:tc>
        <w:tc>
          <w:tcPr>
            <w:tcW w:w="1077"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4" w:lineRule="exact"/>
              <w:ind w:leftChars="-30" w:left="-63" w:rightChars="-30" w:right="-63"/>
              <w:jc w:val="center"/>
              <w:rPr>
                <w:rFonts w:ascii="宋体" w:hAnsi="宋体" w:cs="仿宋_GB2312"/>
                <w:szCs w:val="21"/>
              </w:rPr>
            </w:pPr>
            <w:r>
              <w:rPr>
                <w:rFonts w:ascii="宋体" w:hAnsi="宋体" w:cs="仿宋_GB2312" w:hint="eastAsia"/>
                <w:szCs w:val="21"/>
              </w:rPr>
              <w:t>1～2</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80" w:lineRule="exact"/>
              <w:ind w:leftChars="-30" w:left="-63" w:rightChars="-30" w:right="-63"/>
              <w:jc w:val="center"/>
              <w:rPr>
                <w:rFonts w:ascii="宋体" w:hAnsi="宋体" w:cs="仿宋_GB2312"/>
                <w:szCs w:val="21"/>
              </w:rPr>
            </w:pPr>
            <w:r>
              <w:rPr>
                <w:rFonts w:ascii="宋体" w:hAnsi="宋体" w:cs="仿宋_GB2312" w:hint="eastAsia"/>
                <w:szCs w:val="21"/>
              </w:rPr>
              <w:t>—</w:t>
            </w:r>
          </w:p>
        </w:tc>
      </w:tr>
    </w:tbl>
    <w:p w:rsidR="003D31EF" w:rsidRDefault="003D31EF" w:rsidP="003D31EF">
      <w:pPr>
        <w:spacing w:beforeLines="50" w:before="156" w:line="280" w:lineRule="atLeast"/>
        <w:rPr>
          <w:rFonts w:ascii="楷体_GB2312" w:eastAsia="楷体_GB2312" w:hAnsi="宋体" w:cs="仿宋_GB2312" w:hint="eastAsia"/>
          <w:szCs w:val="21"/>
        </w:rPr>
      </w:pPr>
      <w:r>
        <w:rPr>
          <w:rFonts w:ascii="楷体_GB2312" w:eastAsia="楷体_GB2312" w:hAnsi="宋体" w:cs="仿宋_GB2312" w:hint="eastAsia"/>
          <w:bCs/>
          <w:szCs w:val="21"/>
        </w:rPr>
        <w:t>注：</w:t>
      </w:r>
      <w:r>
        <w:rPr>
          <w:rFonts w:ascii="楷体_GB2312" w:eastAsia="楷体_GB2312" w:hAnsi="宋体" w:cs="仿宋_GB2312" w:hint="eastAsia"/>
          <w:szCs w:val="21"/>
        </w:rPr>
        <w:t>1</w:t>
      </w:r>
      <w:r>
        <w:rPr>
          <w:rFonts w:ascii="楷体_GB2312" w:eastAsia="楷体_GB2312" w:hAnsi="宋体" w:hint="eastAsia"/>
          <w:szCs w:val="21"/>
        </w:rPr>
        <w:t>．</w:t>
      </w:r>
      <w:r>
        <w:rPr>
          <w:rFonts w:ascii="楷体_GB2312" w:eastAsia="楷体_GB2312" w:hAnsi="宋体" w:cs="仿宋_GB2312" w:hint="eastAsia"/>
          <w:szCs w:val="21"/>
        </w:rPr>
        <w:t>插值法计算比例时，四舍五入，计算结果取小数点后1位。</w:t>
      </w:r>
    </w:p>
    <w:p w:rsidR="003D31EF" w:rsidRDefault="003D31EF" w:rsidP="003D31EF">
      <w:pPr>
        <w:spacing w:line="280" w:lineRule="atLeast"/>
        <w:ind w:firstLineChars="200" w:firstLine="420"/>
        <w:rPr>
          <w:rFonts w:ascii="楷体_GB2312" w:eastAsia="楷体_GB2312" w:hAnsi="宋体" w:cs="仿宋_GB2312" w:hint="eastAsia"/>
          <w:szCs w:val="21"/>
        </w:rPr>
      </w:pPr>
      <w:r>
        <w:rPr>
          <w:rFonts w:ascii="楷体_GB2312" w:eastAsia="楷体_GB2312" w:hAnsi="宋体" w:cs="仿宋_GB2312" w:hint="eastAsia"/>
          <w:szCs w:val="21"/>
        </w:rPr>
        <w:t>2</w:t>
      </w:r>
      <w:r>
        <w:rPr>
          <w:rFonts w:ascii="楷体_GB2312" w:eastAsia="楷体_GB2312" w:hAnsi="宋体" w:hint="eastAsia"/>
          <w:szCs w:val="21"/>
        </w:rPr>
        <w:t>．</w:t>
      </w:r>
      <w:r>
        <w:rPr>
          <w:rFonts w:ascii="楷体_GB2312" w:eastAsia="楷体_GB2312" w:hAnsi="宋体" w:cs="仿宋_GB2312" w:hint="eastAsia"/>
          <w:szCs w:val="21"/>
        </w:rPr>
        <w:t>表中带“*”</w:t>
      </w:r>
      <w:proofErr w:type="gramStart"/>
      <w:r>
        <w:rPr>
          <w:rFonts w:ascii="楷体_GB2312" w:eastAsia="楷体_GB2312" w:hAnsi="宋体" w:cs="仿宋_GB2312" w:hint="eastAsia"/>
          <w:szCs w:val="21"/>
        </w:rPr>
        <w:t>项根据</w:t>
      </w:r>
      <w:proofErr w:type="gramEnd"/>
      <w:r>
        <w:rPr>
          <w:rFonts w:ascii="楷体_GB2312" w:eastAsia="楷体_GB2312" w:hAnsi="宋体" w:cs="仿宋_GB2312" w:hint="eastAsia"/>
          <w:szCs w:val="21"/>
        </w:rPr>
        <w:t>不同建筑类型可为缺少项，可扣减该技术项的最高得分，具体详见装配式混凝土建筑技术评分细则。</w:t>
      </w:r>
    </w:p>
    <w:p w:rsidR="003D31EF" w:rsidRDefault="003D31EF" w:rsidP="003D31EF">
      <w:pPr>
        <w:spacing w:beforeLines="50" w:before="156" w:afterLines="50" w:after="156" w:line="0" w:lineRule="atLeast"/>
        <w:jc w:val="center"/>
        <w:rPr>
          <w:rFonts w:ascii="黑体" w:eastAsia="黑体" w:hAnsi="宋体" w:hint="eastAsia"/>
          <w:bCs/>
          <w:sz w:val="24"/>
          <w:szCs w:val="24"/>
        </w:rPr>
      </w:pPr>
      <w:r>
        <w:rPr>
          <w:rFonts w:ascii="黑体" w:eastAsia="黑体" w:hAnsi="宋体" w:hint="eastAsia"/>
          <w:bCs/>
          <w:sz w:val="24"/>
          <w:szCs w:val="24"/>
        </w:rPr>
        <w:t>表2  装配式钢结构建筑技术评分表</w:t>
      </w:r>
    </w:p>
    <w:tbl>
      <w:tblPr>
        <w:tblW w:w="4950" w:type="pct"/>
        <w:jc w:val="center"/>
        <w:tblLayout w:type="fixed"/>
        <w:tblLook w:val="04A0" w:firstRow="1" w:lastRow="0" w:firstColumn="1" w:lastColumn="0" w:noHBand="0" w:noVBand="1"/>
      </w:tblPr>
      <w:tblGrid>
        <w:gridCol w:w="1117"/>
        <w:gridCol w:w="1974"/>
        <w:gridCol w:w="3819"/>
        <w:gridCol w:w="639"/>
        <w:gridCol w:w="888"/>
      </w:tblGrid>
      <w:tr w:rsidR="003D31EF" w:rsidTr="003D31EF">
        <w:trPr>
          <w:trHeight w:val="284"/>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技术项</w:t>
            </w:r>
          </w:p>
        </w:tc>
        <w:tc>
          <w:tcPr>
            <w:tcW w:w="4109"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技术要求</w:t>
            </w:r>
          </w:p>
        </w:tc>
        <w:tc>
          <w:tcPr>
            <w:tcW w:w="672"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得分</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60" w:lineRule="exact"/>
              <w:ind w:leftChars="-30" w:left="-63" w:rightChars="-30" w:right="-63"/>
              <w:jc w:val="center"/>
              <w:rPr>
                <w:rFonts w:ascii="黑体" w:eastAsia="黑体" w:hAnsi="宋体" w:cs="仿宋_GB2312"/>
                <w:bCs/>
                <w:szCs w:val="21"/>
              </w:rPr>
            </w:pPr>
            <w:r>
              <w:rPr>
                <w:rFonts w:ascii="黑体" w:eastAsia="黑体" w:hAnsi="宋体" w:cs="仿宋_GB2312" w:hint="eastAsia"/>
                <w:bCs/>
                <w:szCs w:val="21"/>
              </w:rPr>
              <w:t>最低分值</w:t>
            </w:r>
          </w:p>
        </w:tc>
      </w:tr>
      <w:tr w:rsidR="003D31EF" w:rsidTr="003D31EF">
        <w:trPr>
          <w:trHeight w:val="284"/>
          <w:jc w:val="center"/>
        </w:trPr>
        <w:tc>
          <w:tcPr>
            <w:tcW w:w="1188"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bCs/>
                <w:szCs w:val="21"/>
              </w:rPr>
            </w:pPr>
            <w:r>
              <w:rPr>
                <w:rFonts w:ascii="宋体" w:hAnsi="宋体" w:cs="仿宋_GB2312" w:hint="eastAsia"/>
                <w:bCs/>
                <w:szCs w:val="21"/>
              </w:rPr>
              <w:t>标准化设计</w:t>
            </w:r>
          </w:p>
          <w:p w:rsidR="003D31EF" w:rsidRDefault="003D31EF">
            <w:pPr>
              <w:widowControl/>
              <w:spacing w:line="290" w:lineRule="exact"/>
              <w:ind w:leftChars="-30" w:left="-63" w:rightChars="-30" w:right="-63"/>
              <w:jc w:val="center"/>
              <w:rPr>
                <w:rFonts w:ascii="宋体" w:hAnsi="宋体" w:cs="仿宋_GB2312"/>
                <w:bCs/>
                <w:szCs w:val="21"/>
              </w:rPr>
            </w:pPr>
            <w:r>
              <w:rPr>
                <w:rFonts w:ascii="宋体" w:hAnsi="宋体" w:cs="仿宋_GB2312" w:hint="eastAsia"/>
                <w:bCs/>
                <w:szCs w:val="21"/>
              </w:rPr>
              <w:t>（5分）</w:t>
            </w: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*户型标准化</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标准化户型应用比例≥80%，或单一户型比例≥60%</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2</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构件标准化</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50%≤标准化构件应用比例≤80%</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1～3</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w:t>
            </w:r>
          </w:p>
        </w:tc>
      </w:tr>
      <w:tr w:rsidR="003D31EF" w:rsidTr="003D31EF">
        <w:trPr>
          <w:trHeight w:val="284"/>
          <w:jc w:val="center"/>
        </w:trPr>
        <w:tc>
          <w:tcPr>
            <w:tcW w:w="1188"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bCs/>
                <w:szCs w:val="21"/>
              </w:rPr>
            </w:pPr>
            <w:r>
              <w:rPr>
                <w:rFonts w:ascii="宋体" w:hAnsi="宋体" w:cs="仿宋_GB2312" w:hint="eastAsia"/>
                <w:bCs/>
                <w:szCs w:val="21"/>
              </w:rPr>
              <w:t>主体结构工程</w:t>
            </w:r>
          </w:p>
          <w:p w:rsidR="003D31EF" w:rsidRDefault="003D31EF">
            <w:pPr>
              <w:widowControl/>
              <w:spacing w:line="290" w:lineRule="exact"/>
              <w:ind w:leftChars="-30" w:left="-63" w:rightChars="-30" w:right="-63"/>
              <w:jc w:val="center"/>
              <w:rPr>
                <w:rFonts w:ascii="宋体" w:hAnsi="宋体" w:cs="仿宋_GB2312"/>
                <w:bCs/>
                <w:szCs w:val="21"/>
              </w:rPr>
            </w:pPr>
            <w:r>
              <w:rPr>
                <w:rFonts w:ascii="宋体" w:hAnsi="宋体" w:cs="仿宋_GB2312" w:hint="eastAsia"/>
                <w:bCs/>
                <w:szCs w:val="21"/>
              </w:rPr>
              <w:t>（40分）</w:t>
            </w: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竖向构件</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① 全钢结构</w:t>
            </w:r>
          </w:p>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② 核心筒为混凝土结构、且采用装配式模板工艺，非核心</w:t>
            </w:r>
            <w:proofErr w:type="gramStart"/>
            <w:r>
              <w:rPr>
                <w:rFonts w:ascii="宋体" w:hAnsi="宋体" w:cs="仿宋_GB2312" w:hint="eastAsia"/>
                <w:szCs w:val="21"/>
              </w:rPr>
              <w:t>筒区域钢</w:t>
            </w:r>
            <w:proofErr w:type="gramEnd"/>
            <w:r>
              <w:rPr>
                <w:rFonts w:ascii="宋体" w:hAnsi="宋体" w:cs="仿宋_GB2312" w:hint="eastAsia"/>
                <w:szCs w:val="21"/>
              </w:rPr>
              <w:t>构件比例≥90%</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① 30</w:t>
            </w:r>
          </w:p>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② 25</w:t>
            </w:r>
          </w:p>
        </w:tc>
        <w:tc>
          <w:tcPr>
            <w:tcW w:w="941"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30</w:t>
            </w: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水平构件</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60%≤水平构件比例≤80%</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5～8</w:t>
            </w:r>
          </w:p>
        </w:tc>
        <w:tc>
          <w:tcPr>
            <w:tcW w:w="941"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szCs w:val="21"/>
              </w:rPr>
            </w:pP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装配化施工</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共2项，按满足项数评分</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1～2</w:t>
            </w:r>
          </w:p>
        </w:tc>
        <w:tc>
          <w:tcPr>
            <w:tcW w:w="941" w:type="dxa"/>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bCs/>
                <w:szCs w:val="21"/>
              </w:rPr>
            </w:pPr>
            <w:r>
              <w:rPr>
                <w:rFonts w:ascii="宋体" w:hAnsi="宋体" w:cs="仿宋_GB2312" w:hint="eastAsia"/>
                <w:bCs/>
                <w:szCs w:val="21"/>
              </w:rPr>
              <w:t>围护墙和内隔墙</w:t>
            </w:r>
          </w:p>
          <w:p w:rsidR="003D31EF" w:rsidRDefault="003D31EF">
            <w:pPr>
              <w:widowControl/>
              <w:spacing w:line="290" w:lineRule="exact"/>
              <w:ind w:leftChars="-30" w:left="-63" w:rightChars="-30" w:right="-63"/>
              <w:jc w:val="center"/>
              <w:rPr>
                <w:rFonts w:ascii="宋体" w:hAnsi="宋体" w:cs="仿宋_GB2312"/>
                <w:bCs/>
                <w:szCs w:val="21"/>
              </w:rPr>
            </w:pPr>
            <w:r>
              <w:rPr>
                <w:rFonts w:ascii="宋体" w:hAnsi="宋体" w:cs="仿宋_GB2312" w:hint="eastAsia"/>
                <w:bCs/>
                <w:szCs w:val="21"/>
              </w:rPr>
              <w:t>（20分）</w:t>
            </w:r>
          </w:p>
        </w:tc>
        <w:tc>
          <w:tcPr>
            <w:tcW w:w="2115"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外墙非砌筑、免抹灰</w:t>
            </w:r>
          </w:p>
        </w:tc>
        <w:tc>
          <w:tcPr>
            <w:tcW w:w="4109"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80%≤外墙非砌筑、免抹灰比例≤100%</w:t>
            </w:r>
          </w:p>
        </w:tc>
        <w:tc>
          <w:tcPr>
            <w:tcW w:w="672"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5～8</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5</w:t>
            </w:r>
          </w:p>
        </w:tc>
      </w:tr>
      <w:tr w:rsidR="003D31EF" w:rsidTr="003D31EF">
        <w:trPr>
          <w:trHeight w:val="284"/>
          <w:jc w:val="center"/>
        </w:trPr>
        <w:tc>
          <w:tcPr>
            <w:tcW w:w="3303" w:type="dxa"/>
            <w:vMerge/>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外墙与装饰、保温隔热一体化</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50%≤外墙与装饰、保温隔热一体化比例≤80%</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2～5</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3303" w:type="dxa"/>
            <w:vMerge/>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内</w:t>
            </w:r>
            <w:proofErr w:type="gramStart"/>
            <w:r>
              <w:rPr>
                <w:rFonts w:ascii="宋体" w:hAnsi="宋体" w:cs="仿宋_GB2312" w:hint="eastAsia"/>
                <w:szCs w:val="21"/>
              </w:rPr>
              <w:t>隔墙非</w:t>
            </w:r>
            <w:proofErr w:type="gramEnd"/>
            <w:r>
              <w:rPr>
                <w:rFonts w:ascii="宋体" w:hAnsi="宋体" w:cs="仿宋_GB2312" w:hint="eastAsia"/>
                <w:szCs w:val="21"/>
              </w:rPr>
              <w:t>砌筑、免抹灰</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70%≤内</w:t>
            </w:r>
            <w:proofErr w:type="gramStart"/>
            <w:r>
              <w:rPr>
                <w:rFonts w:ascii="宋体" w:hAnsi="宋体" w:cs="仿宋_GB2312" w:hint="eastAsia"/>
                <w:szCs w:val="21"/>
              </w:rPr>
              <w:t>隔墙非</w:t>
            </w:r>
            <w:proofErr w:type="gramEnd"/>
            <w:r>
              <w:rPr>
                <w:rFonts w:ascii="宋体" w:hAnsi="宋体" w:cs="仿宋_GB2312" w:hint="eastAsia"/>
                <w:szCs w:val="21"/>
              </w:rPr>
              <w:t>砌筑、免抹灰比例≤100%</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5～7</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5</w:t>
            </w:r>
          </w:p>
        </w:tc>
      </w:tr>
      <w:tr w:rsidR="003D31EF" w:rsidTr="003D31EF">
        <w:trPr>
          <w:trHeight w:val="284"/>
          <w:jc w:val="center"/>
        </w:trPr>
        <w:tc>
          <w:tcPr>
            <w:tcW w:w="1188" w:type="dxa"/>
            <w:vMerge w:val="restart"/>
            <w:tcBorders>
              <w:top w:val="nil"/>
              <w:left w:val="single" w:sz="4" w:space="0" w:color="auto"/>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bCs/>
                <w:szCs w:val="21"/>
              </w:rPr>
            </w:pPr>
            <w:r>
              <w:rPr>
                <w:rFonts w:ascii="宋体" w:hAnsi="宋体" w:cs="仿宋_GB2312" w:hint="eastAsia"/>
                <w:bCs/>
                <w:szCs w:val="21"/>
              </w:rPr>
              <w:t>装修和机电</w:t>
            </w:r>
          </w:p>
          <w:p w:rsidR="003D31EF" w:rsidRDefault="003D31EF">
            <w:pPr>
              <w:widowControl/>
              <w:spacing w:line="290" w:lineRule="exact"/>
              <w:ind w:leftChars="-30" w:left="-63" w:rightChars="-30" w:right="-63"/>
              <w:jc w:val="center"/>
              <w:rPr>
                <w:rFonts w:ascii="宋体" w:hAnsi="宋体" w:cs="仿宋_GB2312"/>
                <w:bCs/>
                <w:szCs w:val="21"/>
              </w:rPr>
            </w:pPr>
            <w:r>
              <w:rPr>
                <w:rFonts w:ascii="宋体" w:hAnsi="宋体" w:cs="仿宋_GB2312" w:hint="eastAsia"/>
                <w:bCs/>
                <w:szCs w:val="21"/>
              </w:rPr>
              <w:t>（30分）</w:t>
            </w: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全装修</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按满足要求评分</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6</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6</w:t>
            </w: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*集成厨房</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共3项，按满足项数评分</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1～4</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集成卫生间</w:t>
            </w:r>
          </w:p>
        </w:tc>
        <w:tc>
          <w:tcPr>
            <w:tcW w:w="4109"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共4项，按满足项数评分</w:t>
            </w:r>
          </w:p>
        </w:tc>
        <w:tc>
          <w:tcPr>
            <w:tcW w:w="672"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1～8</w:t>
            </w:r>
          </w:p>
        </w:tc>
        <w:tc>
          <w:tcPr>
            <w:tcW w:w="941" w:type="dxa"/>
            <w:tcBorders>
              <w:top w:val="nil"/>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干式工法</w:t>
            </w:r>
          </w:p>
        </w:tc>
        <w:tc>
          <w:tcPr>
            <w:tcW w:w="4109"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共4项，按满足项数评分</w:t>
            </w:r>
          </w:p>
        </w:tc>
        <w:tc>
          <w:tcPr>
            <w:tcW w:w="672"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1～4</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机电装修一体化、管线分离</w:t>
            </w:r>
          </w:p>
        </w:tc>
        <w:tc>
          <w:tcPr>
            <w:tcW w:w="4109"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共3项，按满足项数评分</w:t>
            </w:r>
          </w:p>
        </w:tc>
        <w:tc>
          <w:tcPr>
            <w:tcW w:w="672"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2～5</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3303" w:type="dxa"/>
            <w:vMerge/>
            <w:tcBorders>
              <w:top w:val="nil"/>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*穿插流水施工</w:t>
            </w:r>
          </w:p>
        </w:tc>
        <w:tc>
          <w:tcPr>
            <w:tcW w:w="4109"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按满足要求评分</w:t>
            </w:r>
          </w:p>
        </w:tc>
        <w:tc>
          <w:tcPr>
            <w:tcW w:w="672"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3</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r w:rsidR="003D31EF" w:rsidTr="003D31EF">
        <w:trPr>
          <w:trHeight w:val="284"/>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bCs/>
                <w:szCs w:val="21"/>
              </w:rPr>
            </w:pPr>
            <w:r>
              <w:rPr>
                <w:rFonts w:ascii="宋体" w:hAnsi="宋体" w:cs="仿宋_GB2312" w:hint="eastAsia"/>
                <w:bCs/>
                <w:szCs w:val="21"/>
              </w:rPr>
              <w:t>信息化应用</w:t>
            </w:r>
          </w:p>
          <w:p w:rsidR="003D31EF" w:rsidRDefault="003D31EF">
            <w:pPr>
              <w:widowControl/>
              <w:spacing w:line="290" w:lineRule="exact"/>
              <w:ind w:leftChars="-30" w:left="-63" w:rightChars="-30" w:right="-63"/>
              <w:jc w:val="center"/>
              <w:rPr>
                <w:rFonts w:ascii="宋体" w:hAnsi="宋体" w:cs="仿宋_GB2312"/>
                <w:bCs/>
                <w:szCs w:val="21"/>
              </w:rPr>
            </w:pPr>
            <w:r>
              <w:rPr>
                <w:rFonts w:ascii="宋体" w:hAnsi="宋体" w:cs="仿宋_GB2312" w:hint="eastAsia"/>
                <w:bCs/>
                <w:szCs w:val="21"/>
              </w:rPr>
              <w:t>（5分）</w:t>
            </w:r>
          </w:p>
        </w:tc>
        <w:tc>
          <w:tcPr>
            <w:tcW w:w="2115"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BIM应用</w:t>
            </w:r>
          </w:p>
        </w:tc>
        <w:tc>
          <w:tcPr>
            <w:tcW w:w="4109"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按建设各阶段BIM应用情况评分</w:t>
            </w:r>
          </w:p>
        </w:tc>
        <w:tc>
          <w:tcPr>
            <w:tcW w:w="672"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1～3</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w:t>
            </w:r>
          </w:p>
        </w:tc>
      </w:tr>
      <w:tr w:rsidR="003D31EF" w:rsidTr="003D31EF">
        <w:trPr>
          <w:trHeight w:val="284"/>
          <w:jc w:val="center"/>
        </w:trPr>
        <w:tc>
          <w:tcPr>
            <w:tcW w:w="3303" w:type="dxa"/>
            <w:vMerge/>
            <w:tcBorders>
              <w:top w:val="single" w:sz="4" w:space="0" w:color="auto"/>
              <w:left w:val="single" w:sz="4" w:space="0" w:color="auto"/>
              <w:bottom w:val="single" w:sz="4" w:space="0" w:color="auto"/>
              <w:right w:val="single" w:sz="4" w:space="0" w:color="auto"/>
            </w:tcBorders>
            <w:vAlign w:val="center"/>
            <w:hideMark/>
          </w:tcPr>
          <w:p w:rsidR="003D31EF" w:rsidRDefault="003D31EF">
            <w:pPr>
              <w:widowControl/>
              <w:jc w:val="left"/>
              <w:rPr>
                <w:rFonts w:ascii="宋体" w:hAnsi="宋体" w:cs="仿宋_GB2312"/>
                <w:bCs/>
                <w:szCs w:val="21"/>
              </w:rPr>
            </w:pPr>
          </w:p>
        </w:tc>
        <w:tc>
          <w:tcPr>
            <w:tcW w:w="2115"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信息化管理</w:t>
            </w:r>
          </w:p>
        </w:tc>
        <w:tc>
          <w:tcPr>
            <w:tcW w:w="4109"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rPr>
                <w:rFonts w:ascii="宋体" w:hAnsi="宋体" w:cs="仿宋_GB2312"/>
                <w:szCs w:val="21"/>
              </w:rPr>
            </w:pPr>
            <w:r>
              <w:rPr>
                <w:rFonts w:ascii="宋体" w:hAnsi="宋体" w:cs="仿宋_GB2312" w:hint="eastAsia"/>
                <w:szCs w:val="21"/>
              </w:rPr>
              <w:t>按建设各阶段信息化管理情况评分</w:t>
            </w:r>
          </w:p>
        </w:tc>
        <w:tc>
          <w:tcPr>
            <w:tcW w:w="672"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1～2</w:t>
            </w:r>
          </w:p>
        </w:tc>
        <w:tc>
          <w:tcPr>
            <w:tcW w:w="941" w:type="dxa"/>
            <w:tcBorders>
              <w:top w:val="single" w:sz="4" w:space="0" w:color="auto"/>
              <w:left w:val="nil"/>
              <w:bottom w:val="single" w:sz="4" w:space="0" w:color="auto"/>
              <w:right w:val="single" w:sz="4" w:space="0" w:color="auto"/>
            </w:tcBorders>
            <w:vAlign w:val="center"/>
            <w:hideMark/>
          </w:tcPr>
          <w:p w:rsidR="003D31EF" w:rsidRDefault="003D31EF">
            <w:pPr>
              <w:widowControl/>
              <w:spacing w:line="290" w:lineRule="exact"/>
              <w:ind w:leftChars="-30" w:left="-63" w:rightChars="-30" w:right="-63"/>
              <w:jc w:val="center"/>
              <w:rPr>
                <w:rFonts w:ascii="宋体" w:hAnsi="宋体" w:cs="仿宋_GB2312"/>
                <w:szCs w:val="21"/>
              </w:rPr>
            </w:pPr>
            <w:r>
              <w:rPr>
                <w:rFonts w:ascii="宋体" w:hAnsi="宋体" w:cs="仿宋_GB2312" w:hint="eastAsia"/>
                <w:szCs w:val="21"/>
              </w:rPr>
              <w:t>—</w:t>
            </w:r>
          </w:p>
        </w:tc>
      </w:tr>
    </w:tbl>
    <w:p w:rsidR="003D31EF" w:rsidRDefault="003D31EF" w:rsidP="003D31EF">
      <w:pPr>
        <w:spacing w:beforeLines="50" w:before="156" w:line="300" w:lineRule="atLeast"/>
        <w:rPr>
          <w:rFonts w:ascii="楷体_GB2312" w:eastAsia="楷体_GB2312" w:hAnsi="宋体" w:cs="仿宋_GB2312" w:hint="eastAsia"/>
          <w:szCs w:val="21"/>
        </w:rPr>
      </w:pPr>
      <w:r>
        <w:rPr>
          <w:rFonts w:ascii="楷体_GB2312" w:eastAsia="楷体_GB2312" w:hAnsi="宋体" w:cs="仿宋_GB2312" w:hint="eastAsia"/>
          <w:bCs/>
          <w:szCs w:val="21"/>
        </w:rPr>
        <w:t>注：</w:t>
      </w:r>
      <w:r>
        <w:rPr>
          <w:rFonts w:ascii="楷体_GB2312" w:eastAsia="楷体_GB2312" w:hAnsi="宋体" w:cs="仿宋_GB2312" w:hint="eastAsia"/>
          <w:szCs w:val="21"/>
        </w:rPr>
        <w:t>1</w:t>
      </w:r>
      <w:r>
        <w:rPr>
          <w:rFonts w:ascii="楷体_GB2312" w:eastAsia="楷体_GB2312" w:hAnsi="宋体" w:hint="eastAsia"/>
          <w:szCs w:val="21"/>
        </w:rPr>
        <w:t>．</w:t>
      </w:r>
      <w:r>
        <w:rPr>
          <w:rFonts w:ascii="楷体_GB2312" w:eastAsia="楷体_GB2312" w:hAnsi="宋体" w:cs="仿宋_GB2312" w:hint="eastAsia"/>
          <w:szCs w:val="21"/>
        </w:rPr>
        <w:t>插值法计算比例时，四舍五入，计算结果取小数点后1位。</w:t>
      </w:r>
    </w:p>
    <w:p w:rsidR="003D31EF" w:rsidRDefault="003D31EF" w:rsidP="003D31EF">
      <w:pPr>
        <w:spacing w:line="300" w:lineRule="atLeast"/>
        <w:ind w:firstLineChars="200" w:firstLine="420"/>
        <w:rPr>
          <w:rFonts w:ascii="楷体_GB2312" w:eastAsia="楷体_GB2312" w:hAnsi="宋体" w:hint="eastAsia"/>
          <w:szCs w:val="21"/>
        </w:rPr>
      </w:pPr>
      <w:r>
        <w:rPr>
          <w:rFonts w:ascii="楷体_GB2312" w:eastAsia="楷体_GB2312" w:hAnsi="宋体" w:cs="仿宋_GB2312" w:hint="eastAsia"/>
          <w:szCs w:val="21"/>
        </w:rPr>
        <w:t>2</w:t>
      </w:r>
      <w:r>
        <w:rPr>
          <w:rFonts w:ascii="楷体_GB2312" w:eastAsia="楷体_GB2312" w:hAnsi="宋体" w:hint="eastAsia"/>
          <w:szCs w:val="21"/>
        </w:rPr>
        <w:t>．</w:t>
      </w:r>
      <w:r>
        <w:rPr>
          <w:rFonts w:ascii="楷体_GB2312" w:eastAsia="楷体_GB2312" w:hAnsi="宋体" w:cs="仿宋_GB2312" w:hint="eastAsia"/>
          <w:szCs w:val="21"/>
        </w:rPr>
        <w:t>表中带“*”</w:t>
      </w:r>
      <w:proofErr w:type="gramStart"/>
      <w:r>
        <w:rPr>
          <w:rFonts w:ascii="楷体_GB2312" w:eastAsia="楷体_GB2312" w:hAnsi="宋体" w:cs="仿宋_GB2312" w:hint="eastAsia"/>
          <w:szCs w:val="21"/>
        </w:rPr>
        <w:t>项根据</w:t>
      </w:r>
      <w:proofErr w:type="gramEnd"/>
      <w:r>
        <w:rPr>
          <w:rFonts w:ascii="楷体_GB2312" w:eastAsia="楷体_GB2312" w:hAnsi="宋体" w:cs="仿宋_GB2312" w:hint="eastAsia"/>
          <w:szCs w:val="21"/>
        </w:rPr>
        <w:t>不同建筑类型可为缺少项，可扣减该技术项的最高得分，详见装配式钢结构建筑技术评分细则。</w:t>
      </w:r>
    </w:p>
    <w:p w:rsidR="003D31EF" w:rsidRDefault="003D31EF" w:rsidP="003D31EF">
      <w:pPr>
        <w:spacing w:beforeLines="50" w:before="156"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（二）基本要求：</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lastRenderedPageBreak/>
        <w:t>1．标准化设计的比例计算。</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户型标准化、构件标准化的比例计算，以项目中同一建筑类型实施装配式建筑的全部单体建筑作为计算总量。</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2．主体结构工程、围护墙和内隔墙等的比例计算。</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（1）当单体建筑主楼可划分标准层时，以标准层作为计算单元，计算比例为所有标准层的算术平均值。</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（2）当单体建筑主楼无法划分标准层时，以单体建筑整体作为计算单元。</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3．对于非比例计算评分的技术项，单体建筑整体应满足相关条款的具体技术要求才可得相应分数，累计得分不超过单项的最高分。</w:t>
      </w:r>
    </w:p>
    <w:p w:rsidR="003D31EF" w:rsidRDefault="003D31EF" w:rsidP="003D31EF">
      <w:pPr>
        <w:spacing w:line="396" w:lineRule="atLeast"/>
        <w:ind w:firstLineChars="200" w:firstLine="480"/>
        <w:rPr>
          <w:rFonts w:ascii="黑体" w:eastAsia="黑体" w:hAnsi="宋体" w:cs="黑体" w:hint="eastAsia"/>
          <w:bCs/>
          <w:sz w:val="24"/>
          <w:szCs w:val="24"/>
        </w:rPr>
      </w:pPr>
      <w:r>
        <w:rPr>
          <w:rFonts w:ascii="黑体" w:eastAsia="黑体" w:hAnsi="宋体" w:cs="黑体" w:hint="eastAsia"/>
          <w:bCs/>
          <w:sz w:val="24"/>
          <w:szCs w:val="24"/>
        </w:rPr>
        <w:t>三、装配式混凝土建筑技术评分细则</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装配式混凝土建筑，是指建筑的结构系统主要由混凝土部件构成的装配式建筑，包括采用劲</w:t>
      </w:r>
      <w:proofErr w:type="gramStart"/>
      <w:r>
        <w:rPr>
          <w:rFonts w:ascii="宋体" w:hAnsi="宋体" w:cs="仿宋_GB2312" w:hint="eastAsia"/>
          <w:sz w:val="24"/>
          <w:szCs w:val="24"/>
        </w:rPr>
        <w:t>性钢—</w:t>
      </w:r>
      <w:proofErr w:type="gramEnd"/>
      <w:r>
        <w:rPr>
          <w:rFonts w:ascii="宋体" w:hAnsi="宋体" w:cs="仿宋_GB2312" w:hint="eastAsia"/>
          <w:sz w:val="24"/>
          <w:szCs w:val="24"/>
        </w:rPr>
        <w:t>混凝土柱、劲</w:t>
      </w:r>
      <w:proofErr w:type="gramStart"/>
      <w:r>
        <w:rPr>
          <w:rFonts w:ascii="宋体" w:hAnsi="宋体" w:cs="仿宋_GB2312" w:hint="eastAsia"/>
          <w:sz w:val="24"/>
          <w:szCs w:val="24"/>
        </w:rPr>
        <w:t>性钢—</w:t>
      </w:r>
      <w:proofErr w:type="gramEnd"/>
      <w:r>
        <w:rPr>
          <w:rFonts w:ascii="宋体" w:hAnsi="宋体" w:cs="仿宋_GB2312" w:hint="eastAsia"/>
          <w:sz w:val="24"/>
          <w:szCs w:val="24"/>
        </w:rPr>
        <w:t>混凝土梁的建筑。</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（一）标准化设计。</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1．户型标准化（2分）。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（1）满足下列 ① 或 ② 的技术要求，得2分：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标准化户型应用比例≥80%。标准化户型应用比例＝标准化</w:t>
      </w:r>
      <w:proofErr w:type="gramStart"/>
      <w:r>
        <w:rPr>
          <w:rFonts w:ascii="宋体" w:hAnsi="宋体" w:cs="仿宋_GB2312" w:hint="eastAsia"/>
          <w:sz w:val="24"/>
          <w:szCs w:val="24"/>
        </w:rPr>
        <w:t>户型总</w:t>
      </w:r>
      <w:proofErr w:type="gramEnd"/>
      <w:r>
        <w:rPr>
          <w:rFonts w:ascii="宋体" w:hAnsi="宋体" w:cs="仿宋_GB2312" w:hint="eastAsia"/>
          <w:sz w:val="24"/>
          <w:szCs w:val="24"/>
        </w:rPr>
        <w:t>套数÷项目所有</w:t>
      </w:r>
      <w:proofErr w:type="gramStart"/>
      <w:r>
        <w:rPr>
          <w:rFonts w:ascii="宋体" w:hAnsi="宋体" w:cs="仿宋_GB2312" w:hint="eastAsia"/>
          <w:sz w:val="24"/>
          <w:szCs w:val="24"/>
        </w:rPr>
        <w:t>户型总</w:t>
      </w:r>
      <w:proofErr w:type="gramEnd"/>
      <w:r>
        <w:rPr>
          <w:rFonts w:ascii="宋体" w:hAnsi="宋体" w:cs="仿宋_GB2312" w:hint="eastAsia"/>
          <w:sz w:val="24"/>
          <w:szCs w:val="24"/>
        </w:rPr>
        <w:t>套数×100%，标准化户型为项目中数量不少于50套的户型（包括镜像户型）。</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单一户型比例≥60%。单一户型比例＝项目中单一户型套数÷项目所有</w:t>
      </w:r>
      <w:proofErr w:type="gramStart"/>
      <w:r>
        <w:rPr>
          <w:rFonts w:ascii="宋体" w:hAnsi="宋体" w:cs="仿宋_GB2312" w:hint="eastAsia"/>
          <w:sz w:val="24"/>
          <w:szCs w:val="24"/>
        </w:rPr>
        <w:t>户型总</w:t>
      </w:r>
      <w:proofErr w:type="gramEnd"/>
      <w:r>
        <w:rPr>
          <w:rFonts w:ascii="宋体" w:hAnsi="宋体" w:cs="仿宋_GB2312" w:hint="eastAsia"/>
          <w:sz w:val="24"/>
          <w:szCs w:val="24"/>
        </w:rPr>
        <w:t>套数×100%。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（2）户型标准化适用于住宅、宿舍、商务公寓等居住建筑，非居住建筑评分时可为缺少项。</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2．构件标准化（1～3分）。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（1）60%≤标准化构件应用比例≤80%，采用插值法计算得分。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（2）标准化构件应用比例＝标准化预制构件总数量÷预制构件总数量×100%，标准化预制构件为项目中数量不少于50件的同一预制构件（包括外形尺寸相同的竖向构件和水平构件，不包括镜像构件）。</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（二）主体结构工程。</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1．竖向构件（10～20分）。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（1）竖向构件包括柱、支撑、承重墙、延性墙板、非承重外墙板、外墙栏板等预制构件。可选择下列两种方法之一，采用插值法计算得分：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35%≤竖向构件比例≤80%</w:t>
      </w:r>
      <w:r>
        <w:rPr>
          <w:rFonts w:ascii="宋体" w:hAnsi="宋体" w:cs="仿宋_GB2312" w:hint="eastAsia"/>
          <w:bCs/>
          <w:sz w:val="24"/>
          <w:szCs w:val="24"/>
        </w:rPr>
        <w:t>（10～20分）</w:t>
      </w:r>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5%≤竖向构件比例＜35%，非预制构件部分应采用装配式模板工艺</w:t>
      </w:r>
      <w:r>
        <w:rPr>
          <w:rFonts w:ascii="宋体" w:hAnsi="宋体" w:cs="仿宋_GB2312" w:hint="eastAsia"/>
          <w:bCs/>
          <w:sz w:val="24"/>
          <w:szCs w:val="24"/>
        </w:rPr>
        <w:t>（10～15分）</w:t>
      </w:r>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（2）采用方法 ①，且非预制构件部分采用装配式模板工艺，得分可加5</w:t>
      </w:r>
      <w:r>
        <w:rPr>
          <w:rFonts w:ascii="宋体" w:hAnsi="宋体" w:cs="仿宋_GB2312" w:hint="eastAsia"/>
          <w:sz w:val="24"/>
          <w:szCs w:val="24"/>
        </w:rPr>
        <w:lastRenderedPageBreak/>
        <w:t>分，单项得分最高20分。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（3）竖向构件比例＝各层竖向构件总体积÷各层（竖向现浇主体结构总体积＋竖向构件总体积）×100%。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（4）内隔墙构造柱、门头挂板、构造</w:t>
      </w:r>
      <w:proofErr w:type="gramStart"/>
      <w:r>
        <w:rPr>
          <w:rFonts w:ascii="宋体" w:hAnsi="宋体" w:cs="仿宋_GB2312" w:hint="eastAsia"/>
          <w:sz w:val="24"/>
          <w:szCs w:val="24"/>
        </w:rPr>
        <w:t>防水反坎不计</w:t>
      </w:r>
      <w:proofErr w:type="gramEnd"/>
      <w:r>
        <w:rPr>
          <w:rFonts w:ascii="宋体" w:hAnsi="宋体" w:cs="仿宋_GB2312" w:hint="eastAsia"/>
          <w:sz w:val="24"/>
          <w:szCs w:val="24"/>
        </w:rPr>
        <w:t>入竖向现浇主体结构总体积，外墙构造柱、构造墙、窗下墙等计入竖向现浇主体结构总体积。</w:t>
      </w:r>
    </w:p>
    <w:p w:rsidR="003D31EF" w:rsidRDefault="003D31EF" w:rsidP="003D31EF">
      <w:pPr>
        <w:spacing w:line="396" w:lineRule="atLeast"/>
        <w:ind w:firstLineChars="200" w:firstLine="480"/>
        <w:rPr>
          <w:rFonts w:ascii="宋体" w:hAnsi="宋体" w:cs="仿宋_GB2312" w:hint="eastAsia"/>
          <w:spacing w:val="2"/>
          <w:sz w:val="24"/>
          <w:szCs w:val="24"/>
        </w:rPr>
      </w:pPr>
      <w:r>
        <w:rPr>
          <w:rFonts w:ascii="宋体" w:hAnsi="宋体" w:cs="仿宋_GB2312" w:hint="eastAsia"/>
          <w:sz w:val="24"/>
          <w:szCs w:val="24"/>
        </w:rPr>
        <w:t>（5）</w:t>
      </w:r>
      <w:proofErr w:type="gramStart"/>
      <w:r>
        <w:rPr>
          <w:rFonts w:ascii="宋体" w:hAnsi="宋体" w:cs="仿宋_GB2312" w:hint="eastAsia"/>
          <w:spacing w:val="2"/>
          <w:sz w:val="24"/>
          <w:szCs w:val="24"/>
        </w:rPr>
        <w:t>当符合</w:t>
      </w:r>
      <w:proofErr w:type="gramEnd"/>
      <w:r>
        <w:rPr>
          <w:rFonts w:ascii="宋体" w:hAnsi="宋体" w:cs="仿宋_GB2312" w:hint="eastAsia"/>
          <w:spacing w:val="2"/>
          <w:sz w:val="24"/>
          <w:szCs w:val="24"/>
        </w:rPr>
        <w:t>下列规定时，竖向构件间连接部分的后浇混凝土可计入竖向构件体积。</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预制承重墙板之间宽度不大于600mm的竖向现浇段和高度不大于350mm的水平后浇带、圈梁的后浇混凝土体积。</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预制框架柱和框架梁之间柱梁节点区的后浇混凝土体积。</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预制柱间高度不大于柱截面较小尺寸的</w:t>
      </w:r>
      <w:proofErr w:type="gramStart"/>
      <w:r>
        <w:rPr>
          <w:rFonts w:ascii="宋体" w:hAnsi="宋体" w:cs="仿宋_GB2312" w:hint="eastAsia"/>
          <w:sz w:val="24"/>
          <w:szCs w:val="24"/>
        </w:rPr>
        <w:t>连接区</w:t>
      </w:r>
      <w:proofErr w:type="gramEnd"/>
      <w:r>
        <w:rPr>
          <w:rFonts w:ascii="宋体" w:hAnsi="宋体" w:cs="仿宋_GB2312" w:hint="eastAsia"/>
          <w:sz w:val="24"/>
          <w:szCs w:val="24"/>
        </w:rPr>
        <w:t>后浇混凝土体积。</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（6）对于公共建筑项目，若外墙全部采用单元式幕墙，且非预制构件部分采用装配式模板工艺，则得5分。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（7）延性墙板，是指具有良好延性和抗震性能的预制墙板，在结构抗震设计中应计入其对结构的影响。</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8）装配式模板工艺，是指采用铝模板、钢模板、塑料模板等工厂生产的部品部件，在工地现场快速组装，可显著提高混凝土工程质量和施工效率的模板系统。采用装配式模板工艺的混凝土结构表面垂直度和平整度偏差不大于4mm/2m，不需要采用普通砂浆找平。</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2．水平构件（5～15分）。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（1）水平构件包括梁、板、楼梯、阳台、空调板等预制构件。可选择下列两种方法之一，采用插值法计算得分：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70%≤水平构件比例≤80%</w:t>
      </w:r>
      <w:r>
        <w:rPr>
          <w:rFonts w:ascii="宋体" w:hAnsi="宋体" w:cs="仿宋_GB2312" w:hint="eastAsia"/>
          <w:bCs/>
          <w:sz w:val="24"/>
          <w:szCs w:val="24"/>
        </w:rPr>
        <w:t>（10～15分）</w:t>
      </w:r>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10%≤水平构件比例＜70%，非预制构件部分应采用装配式模板工艺</w:t>
      </w:r>
      <w:r>
        <w:rPr>
          <w:rFonts w:ascii="宋体" w:hAnsi="宋体" w:cs="仿宋_GB2312" w:hint="eastAsia"/>
          <w:bCs/>
          <w:sz w:val="24"/>
          <w:szCs w:val="24"/>
        </w:rPr>
        <w:t>（5～15分）</w:t>
      </w:r>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（2）采用方法 ①，且非预制构件部分采用装配式模板工艺，得分可加5分，单项得分最高15分。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（3）水平构件比例＝各层水平预制构件投影总面积÷各层水平投影总面积×100%。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（4）竖向主体结构、电梯井、管井、洞口的水平投影面积可不计</w:t>
      </w:r>
      <w:proofErr w:type="gramStart"/>
      <w:r>
        <w:rPr>
          <w:rFonts w:ascii="宋体" w:hAnsi="宋体" w:cs="仿宋_GB2312" w:hint="eastAsia"/>
          <w:sz w:val="24"/>
          <w:szCs w:val="24"/>
        </w:rPr>
        <w:t>入水平</w:t>
      </w:r>
      <w:proofErr w:type="gramEnd"/>
      <w:r>
        <w:rPr>
          <w:rFonts w:ascii="宋体" w:hAnsi="宋体" w:cs="仿宋_GB2312" w:hint="eastAsia"/>
          <w:sz w:val="24"/>
          <w:szCs w:val="24"/>
        </w:rPr>
        <w:t>投影总面积。</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（5）预制楼板和预制屋面板，其水平投影面积可包括：</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预制叠合楼板、预制屋面板的水平投影面积；</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预制构件间宽度不大于400mm的后浇混凝土带水平投影面积；</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 xml:space="preserve">③ </w:t>
      </w:r>
      <w:proofErr w:type="gramStart"/>
      <w:r>
        <w:rPr>
          <w:rFonts w:ascii="宋体" w:hAnsi="宋体" w:cs="仿宋_GB2312" w:hint="eastAsia"/>
          <w:sz w:val="24"/>
          <w:szCs w:val="24"/>
        </w:rPr>
        <w:t>金属楼承板</w:t>
      </w:r>
      <w:proofErr w:type="gramEnd"/>
      <w:r>
        <w:rPr>
          <w:rFonts w:ascii="宋体" w:hAnsi="宋体" w:cs="仿宋_GB2312" w:hint="eastAsia"/>
          <w:sz w:val="24"/>
          <w:szCs w:val="24"/>
        </w:rPr>
        <w:t>的楼板和屋面板、木制的楼板和屋面板，及其他在施工</w:t>
      </w:r>
      <w:proofErr w:type="gramStart"/>
      <w:r>
        <w:rPr>
          <w:rFonts w:ascii="宋体" w:hAnsi="宋体" w:cs="仿宋_GB2312" w:hint="eastAsia"/>
          <w:sz w:val="24"/>
          <w:szCs w:val="24"/>
        </w:rPr>
        <w:t>现场</w:t>
      </w:r>
      <w:r>
        <w:rPr>
          <w:rFonts w:ascii="宋体" w:hAnsi="宋体" w:cs="仿宋_GB2312" w:hint="eastAsia"/>
          <w:sz w:val="24"/>
          <w:szCs w:val="24"/>
        </w:rPr>
        <w:lastRenderedPageBreak/>
        <w:t>免支模</w:t>
      </w:r>
      <w:proofErr w:type="gramEnd"/>
      <w:r>
        <w:rPr>
          <w:rFonts w:ascii="宋体" w:hAnsi="宋体" w:cs="仿宋_GB2312" w:hint="eastAsia"/>
          <w:sz w:val="24"/>
          <w:szCs w:val="24"/>
        </w:rPr>
        <w:t>的楼板和屋面板的水平投影面积。</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3．装配化施工（1～5分）。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按满足下列技术项得分：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主体结构工程采用工具式脚手架（不包括门式脚手架），得2分。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各层楼板现浇部分采用成品钢筋</w:t>
      </w:r>
      <w:proofErr w:type="gramStart"/>
      <w:r>
        <w:rPr>
          <w:rFonts w:ascii="宋体" w:hAnsi="宋体" w:cs="仿宋_GB2312" w:hint="eastAsia"/>
          <w:sz w:val="24"/>
          <w:szCs w:val="24"/>
        </w:rPr>
        <w:t>网比例</w:t>
      </w:r>
      <w:proofErr w:type="gramEnd"/>
      <w:r>
        <w:rPr>
          <w:rFonts w:ascii="宋体" w:hAnsi="宋体" w:cs="仿宋_GB2312" w:hint="eastAsia"/>
          <w:sz w:val="24"/>
          <w:szCs w:val="24"/>
        </w:rPr>
        <w:t>≥50%，得2分。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成品钢筋网比例＝各层楼板成品钢筋网的水平投影总面积÷各层楼板的水平投影总面积×100%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采用提升式混凝土布料机，得1分。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提升式混凝土布料机是指适用于工地现场混凝土施工布料，能显著提高混凝土浇筑施工效率和质量，降低劳动强度的可爬升布料设备。工地现场混凝土施工布料时，</w:t>
      </w:r>
      <w:proofErr w:type="gramStart"/>
      <w:r>
        <w:rPr>
          <w:rFonts w:ascii="宋体" w:hAnsi="宋体" w:cs="仿宋_GB2312" w:hint="eastAsia"/>
          <w:sz w:val="24"/>
          <w:szCs w:val="24"/>
        </w:rPr>
        <w:t>布料机</w:t>
      </w:r>
      <w:proofErr w:type="gramEnd"/>
      <w:r>
        <w:rPr>
          <w:rFonts w:ascii="宋体" w:hAnsi="宋体" w:cs="仿宋_GB2312" w:hint="eastAsia"/>
          <w:sz w:val="24"/>
          <w:szCs w:val="24"/>
        </w:rPr>
        <w:t>不应固定在浇筑的混凝土作业面。</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（三）围护墙和内隔墙。</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sz w:val="24"/>
          <w:szCs w:val="24"/>
        </w:rPr>
        <w:t>墙体（含外墙、内隔墙）非砌筑、免抹灰，是指采用非砌筑墙体，表面垂直度和平整度偏差不大于4mm/2m，不需要采用普通砂浆找平。非砌筑墙体不包括混凝土砖、空心砖、加气混凝土砌块等现场砌筑的块材隔墙以及二次浇筑的填充墙。</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bCs/>
          <w:sz w:val="24"/>
          <w:szCs w:val="24"/>
        </w:rPr>
        <w:t>1．外墙非砌筑、免抹灰（5～8分）。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（1）80%≤外墙非砌筑、免抹灰比例≤100%，采用插值法计算得分。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（2）外墙非砌筑、免抹灰的比例＝各层非砌筑、免抹灰外墙的总长度÷各层外墙总长度×100%。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（3）长度计算时按外墙的外围长度，不扣除门窗、洞口的长度。</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2．外墙与装饰、保温隔热一体化（1～5分）。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按满足下列（1）和（2）中的技术项得分，每项得1分。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（1）外墙装饰一体化。</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外墙门窗、阳台栏杆、外装饰、幕墙等与建筑和结构一体化设计，外装饰和幕墙预埋件有详细深化设计。</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预制外墙门窗采用预埋窗框或附框。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预制外墙的瓷砖、石材、涂料等饰面在工厂生产一并完成。</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（2）外墙保温隔热一体化。</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外墙内保温采用板材类保温材料，工地现场采用干式工法施工。</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预制外墙的保温层在工厂生产一并完成。</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（3）若外墙采用单元式幕墙面积比例≥80%，则得5分。</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3．内</w:t>
      </w:r>
      <w:proofErr w:type="gramStart"/>
      <w:r>
        <w:rPr>
          <w:rFonts w:ascii="宋体" w:hAnsi="宋体" w:cs="仿宋_GB2312" w:hint="eastAsia"/>
          <w:bCs/>
          <w:sz w:val="24"/>
          <w:szCs w:val="24"/>
        </w:rPr>
        <w:t>隔墙非</w:t>
      </w:r>
      <w:proofErr w:type="gramEnd"/>
      <w:r>
        <w:rPr>
          <w:rFonts w:ascii="宋体" w:hAnsi="宋体" w:cs="仿宋_GB2312" w:hint="eastAsia"/>
          <w:bCs/>
          <w:sz w:val="24"/>
          <w:szCs w:val="24"/>
        </w:rPr>
        <w:t>砌筑，免抹灰（5～7分）。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（1）70%≤内</w:t>
      </w:r>
      <w:proofErr w:type="gramStart"/>
      <w:r>
        <w:rPr>
          <w:rFonts w:ascii="宋体" w:hAnsi="宋体" w:cs="仿宋_GB2312" w:hint="eastAsia"/>
          <w:sz w:val="24"/>
          <w:szCs w:val="24"/>
        </w:rPr>
        <w:t>隔墙非</w:t>
      </w:r>
      <w:proofErr w:type="gramEnd"/>
      <w:r>
        <w:rPr>
          <w:rFonts w:ascii="宋体" w:hAnsi="宋体" w:cs="仿宋_GB2312" w:hint="eastAsia"/>
          <w:sz w:val="24"/>
          <w:szCs w:val="24"/>
        </w:rPr>
        <w:t>砌筑、免抹灰比例≤100%，采用插值法计算得分。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（2）内</w:t>
      </w:r>
      <w:proofErr w:type="gramStart"/>
      <w:r>
        <w:rPr>
          <w:rFonts w:ascii="宋体" w:hAnsi="宋体" w:cs="仿宋_GB2312" w:hint="eastAsia"/>
          <w:sz w:val="24"/>
          <w:szCs w:val="24"/>
        </w:rPr>
        <w:t>隔墙非</w:t>
      </w:r>
      <w:proofErr w:type="gramEnd"/>
      <w:r>
        <w:rPr>
          <w:rFonts w:ascii="宋体" w:hAnsi="宋体" w:cs="仿宋_GB2312" w:hint="eastAsia"/>
          <w:sz w:val="24"/>
          <w:szCs w:val="24"/>
        </w:rPr>
        <w:t>砌筑、免抹灰的比例＝各层非砌筑、免抹灰内隔墙的总长度</w:t>
      </w:r>
      <w:r>
        <w:rPr>
          <w:rFonts w:ascii="宋体" w:hAnsi="宋体" w:cs="仿宋_GB2312" w:hint="eastAsia"/>
          <w:sz w:val="24"/>
          <w:szCs w:val="24"/>
        </w:rPr>
        <w:lastRenderedPageBreak/>
        <w:t>÷各层内隔墙总长度×100%。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（3）长度计算时不扣除门窗、洞口的长度。公共建筑的电梯井、管井、洞口的隔墙可不计入墙体长度计算。</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（四）装修和机电。</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1．全装修（6分）。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全装修，是指建筑功能空间的固定面装修和设备设施安装全部完成，达到建筑使用功能和性能的基本要求。装配式建筑项目应</w:t>
      </w:r>
      <w:proofErr w:type="gramStart"/>
      <w:r>
        <w:rPr>
          <w:rFonts w:ascii="宋体" w:hAnsi="宋体" w:cs="仿宋_GB2312" w:hint="eastAsia"/>
          <w:sz w:val="24"/>
          <w:szCs w:val="24"/>
        </w:rPr>
        <w:t>按装</w:t>
      </w:r>
      <w:proofErr w:type="gramEnd"/>
      <w:r>
        <w:rPr>
          <w:rFonts w:ascii="宋体" w:hAnsi="宋体" w:cs="仿宋_GB2312" w:hint="eastAsia"/>
          <w:sz w:val="24"/>
          <w:szCs w:val="24"/>
        </w:rPr>
        <w:t>修设计图完成施工、装修交付，满足要求得6分；装修设计图应包括材料表、平面布置图、立面布置图、机电布置图、主要节点做法详图。</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（1）居住建筑全装修。</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居住建筑全装修范围包括建筑的公共区域、户内各功能空间（</w:t>
      </w:r>
      <w:proofErr w:type="gramStart"/>
      <w:r>
        <w:rPr>
          <w:rFonts w:ascii="宋体" w:hAnsi="宋体" w:cs="仿宋_GB2312" w:hint="eastAsia"/>
          <w:sz w:val="24"/>
          <w:szCs w:val="24"/>
        </w:rPr>
        <w:t>回迁房全</w:t>
      </w:r>
      <w:proofErr w:type="gramEnd"/>
      <w:r>
        <w:rPr>
          <w:rFonts w:ascii="宋体" w:hAnsi="宋体" w:cs="仿宋_GB2312" w:hint="eastAsia"/>
          <w:sz w:val="24"/>
          <w:szCs w:val="24"/>
        </w:rPr>
        <w:t>装修范围可只包括建筑的公共区域），应提供相应部分的装修设计图，要求装修设计完善，装修设计图与建筑、结构、机电设计一致。</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（2）公共建筑全装修。</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公共建筑全装修范围包括公共区域和已确定使用功能的室内区域，应提供相应部分的装修设计图，要求装修设计完善，装修设计图与建筑、结构、机电设计一致。</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2．集成厨房（1～4分）。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集成厨房，是指地面、吊顶、墙面、橱柜、厨房设备及管线等通过设计集成、工厂生产，在工地现场主要采用干式工法施工完成的厨房。</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（1）根据装修设计图和实施方案，满足下列技术项得分，其中 ①、② 每项得1分，③ 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墙面采用干挂</w:t>
      </w:r>
      <w:proofErr w:type="gramStart"/>
      <w:r>
        <w:rPr>
          <w:rFonts w:ascii="宋体" w:hAnsi="宋体" w:cs="仿宋_GB2312" w:hint="eastAsia"/>
          <w:sz w:val="24"/>
          <w:szCs w:val="24"/>
        </w:rPr>
        <w:t>或薄贴工艺</w:t>
      </w:r>
      <w:proofErr w:type="gramEnd"/>
      <w:r>
        <w:rPr>
          <w:rFonts w:ascii="宋体" w:hAnsi="宋体" w:cs="仿宋_GB2312" w:hint="eastAsia"/>
          <w:sz w:val="24"/>
          <w:szCs w:val="24"/>
        </w:rPr>
        <w:t>。（</w:t>
      </w:r>
      <w:proofErr w:type="gramStart"/>
      <w:r>
        <w:rPr>
          <w:rFonts w:ascii="宋体" w:hAnsi="宋体" w:cs="仿宋_GB2312" w:hint="eastAsia"/>
          <w:bCs/>
          <w:sz w:val="24"/>
          <w:szCs w:val="24"/>
        </w:rPr>
        <w:t>薄贴工艺</w:t>
      </w:r>
      <w:proofErr w:type="gramEnd"/>
      <w:r>
        <w:rPr>
          <w:rFonts w:ascii="宋体" w:hAnsi="宋体" w:cs="仿宋_GB2312" w:hint="eastAsia"/>
          <w:sz w:val="24"/>
          <w:szCs w:val="24"/>
        </w:rPr>
        <w:t>为采用瓷砖粘结剂进行铺贴，厚度为3～5mm）</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橱柜、灶具、五金等设备配置齐全。</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（2）集成厨房适用于分户设置厨房的住宅、宿舍、商务公寓等居住建筑，非居住建筑评分时，集成厨房可为缺少项。</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3．集成卫生间（1～8分）。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集成卫生间，是指地面、吊顶、墙面、洁具设备及管线等通过设计集成、工厂生产，在工地现场主要采用干式工法施工完成的卫生间。</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（1）根据装修设计图和实施方案，满足下列技术项得分，其中 ①、② 每项得1分，③ 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墙面采用干挂</w:t>
      </w:r>
      <w:proofErr w:type="gramStart"/>
      <w:r>
        <w:rPr>
          <w:rFonts w:ascii="宋体" w:hAnsi="宋体" w:cs="仿宋_GB2312" w:hint="eastAsia"/>
          <w:sz w:val="24"/>
          <w:szCs w:val="24"/>
        </w:rPr>
        <w:t>或薄贴工艺</w:t>
      </w:r>
      <w:proofErr w:type="gramEnd"/>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lastRenderedPageBreak/>
        <w:t>③ 洁柜、洁具、五金等设备配置齐全。</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w:t>
      </w:r>
      <w:proofErr w:type="gramStart"/>
      <w:r>
        <w:rPr>
          <w:rFonts w:ascii="宋体" w:hAnsi="宋体" w:cs="仿宋_GB2312" w:hint="eastAsia"/>
          <w:sz w:val="24"/>
          <w:szCs w:val="24"/>
        </w:rPr>
        <w:t>若整体卫浴应用</w:t>
      </w:r>
      <w:proofErr w:type="gramEnd"/>
      <w:r>
        <w:rPr>
          <w:rFonts w:ascii="宋体" w:hAnsi="宋体" w:cs="仿宋_GB2312" w:hint="eastAsia"/>
          <w:sz w:val="24"/>
          <w:szCs w:val="24"/>
        </w:rPr>
        <w:t>比例≥60%（整体卫</w:t>
      </w:r>
      <w:proofErr w:type="gramStart"/>
      <w:r>
        <w:rPr>
          <w:rFonts w:ascii="宋体" w:hAnsi="宋体" w:cs="仿宋_GB2312" w:hint="eastAsia"/>
          <w:sz w:val="24"/>
          <w:szCs w:val="24"/>
        </w:rPr>
        <w:t>浴应用</w:t>
      </w:r>
      <w:proofErr w:type="gramEnd"/>
      <w:r>
        <w:rPr>
          <w:rFonts w:ascii="宋体" w:hAnsi="宋体" w:cs="仿宋_GB2312" w:hint="eastAsia"/>
          <w:sz w:val="24"/>
          <w:szCs w:val="24"/>
        </w:rPr>
        <w:t>比例＝整体卫</w:t>
      </w:r>
      <w:proofErr w:type="gramStart"/>
      <w:r>
        <w:rPr>
          <w:rFonts w:ascii="宋体" w:hAnsi="宋体" w:cs="仿宋_GB2312" w:hint="eastAsia"/>
          <w:sz w:val="24"/>
          <w:szCs w:val="24"/>
        </w:rPr>
        <w:t>浴数量</w:t>
      </w:r>
      <w:proofErr w:type="gramEnd"/>
      <w:r>
        <w:rPr>
          <w:rFonts w:ascii="宋体" w:hAnsi="宋体" w:cs="仿宋_GB2312" w:hint="eastAsia"/>
          <w:sz w:val="24"/>
          <w:szCs w:val="24"/>
        </w:rPr>
        <w:t>÷卫生间总数量×100%），</w:t>
      </w:r>
      <w:proofErr w:type="gramStart"/>
      <w:r>
        <w:rPr>
          <w:rFonts w:ascii="宋体" w:hAnsi="宋体" w:cs="仿宋_GB2312" w:hint="eastAsia"/>
          <w:sz w:val="24"/>
          <w:szCs w:val="24"/>
        </w:rPr>
        <w:t>且其它</w:t>
      </w:r>
      <w:proofErr w:type="gramEnd"/>
      <w:r>
        <w:rPr>
          <w:rFonts w:ascii="宋体" w:hAnsi="宋体" w:cs="仿宋_GB2312" w:hint="eastAsia"/>
          <w:sz w:val="24"/>
          <w:szCs w:val="24"/>
        </w:rPr>
        <w:t>卫生间符合（1）中的做法 ①、②，则得8分。</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4．干式工法（1～4分）。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干式工法，是指装修施工时取消普通砂浆等湿作业的工法。</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根据建筑设计图、结构设计图、装修设计图和实施方案，按满足下列（1）和（2）中的技术项得分，每项得1分。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（1）楼面、地面干式工法。</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楼面混凝土一次性成型，地面水平度和平整度偏差不大于4mm/2m。</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（2）公共区域装修干式工法。</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墙面采用干挂</w:t>
      </w:r>
      <w:proofErr w:type="gramStart"/>
      <w:r>
        <w:rPr>
          <w:rFonts w:ascii="宋体" w:hAnsi="宋体" w:cs="仿宋_GB2312" w:hint="eastAsia"/>
          <w:sz w:val="24"/>
          <w:szCs w:val="24"/>
        </w:rPr>
        <w:t>或薄贴工艺</w:t>
      </w:r>
      <w:proofErr w:type="gramEnd"/>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5．机电装修一体化、管线分离（2～5分）。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按满足下列技术项得分，② 和 ③ 不能同时得分。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建筑、结构、机电与装修一体化设计，实现各专业协调，满足预制构件生产、装配式施工的要求，得2分。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机电管线在结构和墙体内一次性预埋预留，墙体布置、机电管线预埋预留和定位须与装修要求一致，无现场剔凿，得1分。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采用主体结构和管线分离，机电管线应敷设在地面架空层、非承重墙体空腔和吊顶内等位置，无现场剔凿，得3分。</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6．穿插流水施工（3分）。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穿插流水施工，是指主体结构、内隔墙、机电安装、外装饰、室内装修各工序同步流水作业的施工组织方式。</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（1）根据实施方案，有完整穿插施工方案，实现地上部分主体结构、内隔墙、机电、外装饰、装修（含贴砖、涂料、吊顶等）工序进行流水穿插施工，得3分。</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（2）</w:t>
      </w:r>
      <w:r>
        <w:rPr>
          <w:rFonts w:ascii="宋体" w:hAnsi="宋体" w:cs="仿宋_GB2312" w:hint="eastAsia"/>
          <w:spacing w:val="2"/>
          <w:sz w:val="24"/>
          <w:szCs w:val="24"/>
        </w:rPr>
        <w:t>地上部分30层及以上的建筑宜采用穿插流水施工，30层以下的建筑评分</w:t>
      </w:r>
      <w:r>
        <w:rPr>
          <w:rFonts w:ascii="宋体" w:hAnsi="宋体" w:cs="仿宋_GB2312" w:hint="eastAsia"/>
          <w:sz w:val="24"/>
          <w:szCs w:val="24"/>
        </w:rPr>
        <w:t>时，穿插流水施工可为缺少项。</w:t>
      </w:r>
    </w:p>
    <w:p w:rsidR="003D31EF" w:rsidRDefault="003D31EF" w:rsidP="003D31EF">
      <w:pPr>
        <w:spacing w:line="410" w:lineRule="atLeast"/>
        <w:ind w:firstLineChars="200" w:firstLine="480"/>
        <w:rPr>
          <w:rFonts w:ascii="宋体" w:hAnsi="宋体" w:cs="仿宋_GB2312" w:hint="eastAsia"/>
          <w:bCs/>
          <w:sz w:val="24"/>
          <w:szCs w:val="24"/>
        </w:rPr>
      </w:pPr>
      <w:r>
        <w:rPr>
          <w:rFonts w:ascii="宋体" w:hAnsi="宋体" w:cs="仿宋_GB2312" w:hint="eastAsia"/>
          <w:bCs/>
          <w:sz w:val="24"/>
          <w:szCs w:val="24"/>
        </w:rPr>
        <w:t>（五）信息化应用。</w:t>
      </w:r>
    </w:p>
    <w:p w:rsidR="003D31EF" w:rsidRDefault="003D31EF" w:rsidP="003D31EF">
      <w:pPr>
        <w:spacing w:line="410" w:lineRule="atLeast"/>
        <w:ind w:firstLineChars="200" w:firstLine="480"/>
        <w:rPr>
          <w:rFonts w:ascii="宋体" w:hAnsi="宋体" w:cs="仿宋_GB2312" w:hint="eastAsia"/>
          <w:bCs/>
          <w:sz w:val="24"/>
          <w:szCs w:val="24"/>
        </w:rPr>
      </w:pPr>
      <w:r>
        <w:rPr>
          <w:rFonts w:ascii="宋体" w:hAnsi="宋体" w:cs="仿宋_GB2312" w:hint="eastAsia"/>
          <w:bCs/>
          <w:sz w:val="24"/>
          <w:szCs w:val="24"/>
        </w:rPr>
        <w:t>1．BIM应用（1～3分）。</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根据项目建设不同阶段的BIM应用情况得分：设计阶段应用得1分；施工阶段应用得1分；设计、生产、施工阶段一体化全过程应用得3分。</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（1）设计阶段，应用BIM进行施工图设计，包括各专业协同、管线综合、</w:t>
      </w:r>
      <w:r>
        <w:rPr>
          <w:rFonts w:ascii="宋体" w:hAnsi="宋体" w:cs="仿宋_GB2312" w:hint="eastAsia"/>
          <w:sz w:val="24"/>
          <w:szCs w:val="24"/>
        </w:rPr>
        <w:lastRenderedPageBreak/>
        <w:t>BIM模型制作、施工图和预制构件</w:t>
      </w:r>
      <w:proofErr w:type="gramStart"/>
      <w:r>
        <w:rPr>
          <w:rFonts w:ascii="宋体" w:hAnsi="宋体" w:cs="仿宋_GB2312" w:hint="eastAsia"/>
          <w:sz w:val="24"/>
          <w:szCs w:val="24"/>
        </w:rPr>
        <w:t>图信息</w:t>
      </w:r>
      <w:proofErr w:type="gramEnd"/>
      <w:r>
        <w:rPr>
          <w:rFonts w:ascii="宋体" w:hAnsi="宋体" w:cs="仿宋_GB2312" w:hint="eastAsia"/>
          <w:sz w:val="24"/>
          <w:szCs w:val="24"/>
        </w:rPr>
        <w:t>表达、预制构件连接节点设计、钢筋碰撞、施工工序模拟等，提升设计质量。</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（2）生产阶段，应用BIM传递设计阶段的信息，进行预制构件和装配式模板深化设计和生产管理，提升预制构件和装配式模板生产质量和效率。</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（3）施工阶段，应用BIM传递设计、生产阶段的信息，进行施工全过程管控，实现对施工进度、人力、材料、设备、成本、安全、质量和场地布置的多维动态集成管理，提升施工质量和效率。</w:t>
      </w:r>
    </w:p>
    <w:p w:rsidR="003D31EF" w:rsidRDefault="003D31EF" w:rsidP="003D31EF">
      <w:pPr>
        <w:spacing w:line="410" w:lineRule="atLeast"/>
        <w:ind w:firstLineChars="200" w:firstLine="480"/>
        <w:rPr>
          <w:rFonts w:ascii="宋体" w:hAnsi="宋体" w:cs="仿宋_GB2312" w:hint="eastAsia"/>
          <w:bCs/>
          <w:sz w:val="24"/>
          <w:szCs w:val="24"/>
        </w:rPr>
      </w:pPr>
      <w:r>
        <w:rPr>
          <w:rFonts w:ascii="宋体" w:hAnsi="宋体" w:cs="仿宋_GB2312" w:hint="eastAsia"/>
          <w:bCs/>
          <w:sz w:val="24"/>
          <w:szCs w:val="24"/>
        </w:rPr>
        <w:t>2．信息化管理（1～2分）。</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生产、施工阶段应用信息化管理软件和移动APP，通过互联网、物联网、大数据、智能化等提高工程质量和管理效率。满足生产阶段、施工阶段的应用情况得分，每项得1分。</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1）生产阶段，采用RFID技术、物联网、信息化软件，建立预制构件生产管理系统，每个预制构件有唯一的身份标识，建立预制构件生产信息库，用于记录预制构件生产关键信息，追溯、管理预制构件的生产质量、生产进度，实现生产自动化和智能化。</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2）施工阶段，采用信息化软件、移动APP等工具，建立预制构件施工管理系统，结合预制构件中的身份识别标识，记录预制构件吊装、施工关键信息，追溯、管理预制构件施工质量、施工进度等，实现施工管理过程的精细化、数据化和智能化。</w:t>
      </w:r>
    </w:p>
    <w:p w:rsidR="003D31EF" w:rsidRDefault="003D31EF" w:rsidP="003D31EF">
      <w:pPr>
        <w:spacing w:line="410" w:lineRule="atLeast"/>
        <w:ind w:firstLineChars="200" w:firstLine="480"/>
        <w:rPr>
          <w:rFonts w:ascii="黑体" w:eastAsia="黑体" w:hAnsi="宋体" w:cs="黑体" w:hint="eastAsia"/>
          <w:bCs/>
          <w:sz w:val="24"/>
          <w:szCs w:val="24"/>
        </w:rPr>
      </w:pPr>
      <w:r>
        <w:rPr>
          <w:rFonts w:ascii="黑体" w:eastAsia="黑体" w:hAnsi="宋体" w:cs="黑体" w:hint="eastAsia"/>
          <w:bCs/>
          <w:sz w:val="24"/>
          <w:szCs w:val="24"/>
        </w:rPr>
        <w:t>四、装配式钢结构建筑技术评分细则</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sz w:val="24"/>
          <w:szCs w:val="24"/>
        </w:rPr>
        <w:t>装配式钢结构建筑，是指建筑的结构系统主要由钢部件构成的装配式建筑，包括采用全钢结构、钢—混凝土组合结构、钢管混凝土结构、集成模块化钢结构的建筑。</w:t>
      </w:r>
    </w:p>
    <w:p w:rsidR="003D31EF" w:rsidRDefault="003D31EF" w:rsidP="003D31EF">
      <w:pPr>
        <w:spacing w:line="410" w:lineRule="atLeast"/>
        <w:ind w:firstLineChars="200" w:firstLine="480"/>
        <w:rPr>
          <w:rFonts w:ascii="宋体" w:hAnsi="宋体" w:cs="仿宋_GB2312" w:hint="eastAsia"/>
          <w:bCs/>
          <w:sz w:val="24"/>
          <w:szCs w:val="24"/>
        </w:rPr>
      </w:pPr>
      <w:r>
        <w:rPr>
          <w:rFonts w:ascii="宋体" w:hAnsi="宋体" w:cs="仿宋_GB2312" w:hint="eastAsia"/>
          <w:bCs/>
          <w:sz w:val="24"/>
          <w:szCs w:val="24"/>
        </w:rPr>
        <w:t>（一）标准化设计。</w:t>
      </w:r>
    </w:p>
    <w:p w:rsidR="003D31EF" w:rsidRDefault="003D31EF" w:rsidP="003D31EF">
      <w:pPr>
        <w:spacing w:line="410" w:lineRule="atLeast"/>
        <w:ind w:firstLineChars="200" w:firstLine="480"/>
        <w:rPr>
          <w:rFonts w:ascii="宋体" w:hAnsi="宋体" w:cs="仿宋_GB2312" w:hint="eastAsia"/>
          <w:sz w:val="24"/>
          <w:szCs w:val="24"/>
        </w:rPr>
      </w:pPr>
      <w:r>
        <w:rPr>
          <w:rFonts w:ascii="宋体" w:hAnsi="宋体" w:cs="仿宋_GB2312" w:hint="eastAsia"/>
          <w:bCs/>
          <w:sz w:val="24"/>
          <w:szCs w:val="24"/>
        </w:rPr>
        <w:t>1．户型标准化（2分）。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（1）满足下列 ① 或 ② 的技术要求，得2分：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标准化户型应用比例≥80%。标准化户型应用比例＝标准化</w:t>
      </w:r>
      <w:proofErr w:type="gramStart"/>
      <w:r>
        <w:rPr>
          <w:rFonts w:ascii="宋体" w:hAnsi="宋体" w:cs="仿宋_GB2312" w:hint="eastAsia"/>
          <w:sz w:val="24"/>
          <w:szCs w:val="24"/>
        </w:rPr>
        <w:t>户型总</w:t>
      </w:r>
      <w:proofErr w:type="gramEnd"/>
      <w:r>
        <w:rPr>
          <w:rFonts w:ascii="宋体" w:hAnsi="宋体" w:cs="仿宋_GB2312" w:hint="eastAsia"/>
          <w:sz w:val="24"/>
          <w:szCs w:val="24"/>
        </w:rPr>
        <w:t>套数÷项目所有</w:t>
      </w:r>
      <w:proofErr w:type="gramStart"/>
      <w:r>
        <w:rPr>
          <w:rFonts w:ascii="宋体" w:hAnsi="宋体" w:cs="仿宋_GB2312" w:hint="eastAsia"/>
          <w:sz w:val="24"/>
          <w:szCs w:val="24"/>
        </w:rPr>
        <w:t>户型总</w:t>
      </w:r>
      <w:proofErr w:type="gramEnd"/>
      <w:r>
        <w:rPr>
          <w:rFonts w:ascii="宋体" w:hAnsi="宋体" w:cs="仿宋_GB2312" w:hint="eastAsia"/>
          <w:sz w:val="24"/>
          <w:szCs w:val="24"/>
        </w:rPr>
        <w:t>套数×100%，标准化户型为项目中数量不少于50套的户型（包括镜像户型）。</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单一户型比例≥60%。单一户型比例＝项目中单一户型套数÷项目所有</w:t>
      </w:r>
      <w:proofErr w:type="gramStart"/>
      <w:r>
        <w:rPr>
          <w:rFonts w:ascii="宋体" w:hAnsi="宋体" w:cs="仿宋_GB2312" w:hint="eastAsia"/>
          <w:sz w:val="24"/>
          <w:szCs w:val="24"/>
        </w:rPr>
        <w:t>户型总</w:t>
      </w:r>
      <w:proofErr w:type="gramEnd"/>
      <w:r>
        <w:rPr>
          <w:rFonts w:ascii="宋体" w:hAnsi="宋体" w:cs="仿宋_GB2312" w:hint="eastAsia"/>
          <w:sz w:val="24"/>
          <w:szCs w:val="24"/>
        </w:rPr>
        <w:t>套数×100%。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（2）户型标准化适用于住宅、宿舍、商务公寓等居住建筑，非居住建筑评分时可为缺少项。</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2．构件标准化（1～3分）。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lastRenderedPageBreak/>
        <w:t>（1）50%≤标准化构件应用比例≤80%，采用插值法计算得分。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（2）标准化构件应用比例＝标准化钢构件总数量÷钢构件总数量×100%，标准化钢构件为项目中采用轧制标准型钢或</w:t>
      </w:r>
      <w:proofErr w:type="gramStart"/>
      <w:r>
        <w:rPr>
          <w:rFonts w:ascii="宋体" w:hAnsi="宋体" w:cs="仿宋_GB2312" w:hint="eastAsia"/>
          <w:sz w:val="24"/>
          <w:szCs w:val="24"/>
        </w:rPr>
        <w:t>焊接非</w:t>
      </w:r>
      <w:proofErr w:type="gramEnd"/>
      <w:r>
        <w:rPr>
          <w:rFonts w:ascii="宋体" w:hAnsi="宋体" w:cs="仿宋_GB2312" w:hint="eastAsia"/>
          <w:sz w:val="24"/>
          <w:szCs w:val="24"/>
        </w:rPr>
        <w:t>异型截面钢材的钢构件。</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（二）主体结构工程。</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1．竖向构件（25～30分）。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（1）竖向构件包括工厂制作钢柱、钢支撑、屈曲约束支撑、钢板剪力墙、钢板组合剪力墙、钢管混凝土柱等构件，竖向构件可选择下列两种做法之一得分：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全部采用钢结构，得30分。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核心筒为混凝土结构、且采用装配式模板工艺，非核心</w:t>
      </w:r>
      <w:proofErr w:type="gramStart"/>
      <w:r>
        <w:rPr>
          <w:rFonts w:ascii="宋体" w:hAnsi="宋体" w:cs="仿宋_GB2312" w:hint="eastAsia"/>
          <w:sz w:val="24"/>
          <w:szCs w:val="24"/>
        </w:rPr>
        <w:t>筒区域钢</w:t>
      </w:r>
      <w:proofErr w:type="gramEnd"/>
      <w:r>
        <w:rPr>
          <w:rFonts w:ascii="宋体" w:hAnsi="宋体" w:cs="仿宋_GB2312" w:hint="eastAsia"/>
          <w:sz w:val="24"/>
          <w:szCs w:val="24"/>
        </w:rPr>
        <w:t>构件比例≥90%，得25分。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w:t>
      </w:r>
      <w:r>
        <w:rPr>
          <w:rFonts w:ascii="宋体" w:hAnsi="宋体" w:cs="仿宋_GB2312" w:hint="eastAsia"/>
          <w:spacing w:val="2"/>
          <w:sz w:val="24"/>
          <w:szCs w:val="24"/>
        </w:rPr>
        <w:t>非核心</w:t>
      </w:r>
      <w:proofErr w:type="gramStart"/>
      <w:r>
        <w:rPr>
          <w:rFonts w:ascii="宋体" w:hAnsi="宋体" w:cs="仿宋_GB2312" w:hint="eastAsia"/>
          <w:spacing w:val="2"/>
          <w:sz w:val="24"/>
          <w:szCs w:val="24"/>
        </w:rPr>
        <w:t>筒区域钢</w:t>
      </w:r>
      <w:proofErr w:type="gramEnd"/>
      <w:r>
        <w:rPr>
          <w:rFonts w:ascii="宋体" w:hAnsi="宋体" w:cs="仿宋_GB2312" w:hint="eastAsia"/>
          <w:spacing w:val="2"/>
          <w:sz w:val="24"/>
          <w:szCs w:val="24"/>
        </w:rPr>
        <w:t>构件比例＝非核心</w:t>
      </w:r>
      <w:proofErr w:type="gramStart"/>
      <w:r>
        <w:rPr>
          <w:rFonts w:ascii="宋体" w:hAnsi="宋体" w:cs="仿宋_GB2312" w:hint="eastAsia"/>
          <w:spacing w:val="2"/>
          <w:sz w:val="24"/>
          <w:szCs w:val="24"/>
        </w:rPr>
        <w:t>筒区域钢</w:t>
      </w:r>
      <w:proofErr w:type="gramEnd"/>
      <w:r>
        <w:rPr>
          <w:rFonts w:ascii="宋体" w:hAnsi="宋体" w:cs="仿宋_GB2312" w:hint="eastAsia"/>
          <w:spacing w:val="2"/>
          <w:sz w:val="24"/>
          <w:szCs w:val="24"/>
        </w:rPr>
        <w:t>构件数量÷非核心筒竖向构件</w:t>
      </w:r>
      <w:r>
        <w:rPr>
          <w:rFonts w:ascii="宋体" w:hAnsi="宋体" w:cs="仿宋_GB2312" w:hint="eastAsia"/>
          <w:sz w:val="24"/>
          <w:szCs w:val="24"/>
        </w:rPr>
        <w:t>总数量×100%。</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2．水平构件（5～8分）。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（1）水平构件包括工厂制作钢梁、楼梯、板、阳台、空调板等构件。楼梯包括混凝土预制楼梯、钢楼梯和钢—混凝土组合楼梯。板、阳台、空调</w:t>
      </w:r>
      <w:proofErr w:type="gramStart"/>
      <w:r>
        <w:rPr>
          <w:rFonts w:ascii="宋体" w:hAnsi="宋体" w:cs="仿宋_GB2312" w:hint="eastAsia"/>
          <w:sz w:val="24"/>
          <w:szCs w:val="24"/>
        </w:rPr>
        <w:t>板包括</w:t>
      </w:r>
      <w:proofErr w:type="gramEnd"/>
      <w:r>
        <w:rPr>
          <w:rFonts w:ascii="宋体" w:hAnsi="宋体" w:cs="仿宋_GB2312" w:hint="eastAsia"/>
          <w:sz w:val="24"/>
          <w:szCs w:val="24"/>
        </w:rPr>
        <w:t>预制板、预制叠合板、预制空心板、钢筋</w:t>
      </w:r>
      <w:proofErr w:type="gramStart"/>
      <w:r>
        <w:rPr>
          <w:rFonts w:ascii="宋体" w:hAnsi="宋体" w:cs="仿宋_GB2312" w:hint="eastAsia"/>
          <w:sz w:val="24"/>
          <w:szCs w:val="24"/>
        </w:rPr>
        <w:t>桁架楼承</w:t>
      </w:r>
      <w:proofErr w:type="gramEnd"/>
      <w:r>
        <w:rPr>
          <w:rFonts w:ascii="宋体" w:hAnsi="宋体" w:cs="仿宋_GB2312" w:hint="eastAsia"/>
          <w:sz w:val="24"/>
          <w:szCs w:val="24"/>
        </w:rPr>
        <w:t>板、压型钢板组合楼板、水泥纤维板组合楼板</w:t>
      </w:r>
      <w:proofErr w:type="gramStart"/>
      <w:r>
        <w:rPr>
          <w:rFonts w:ascii="宋体" w:hAnsi="宋体" w:cs="仿宋_GB2312" w:hint="eastAsia"/>
          <w:sz w:val="24"/>
          <w:szCs w:val="24"/>
        </w:rPr>
        <w:t>等免支</w:t>
      </w:r>
      <w:proofErr w:type="gramEnd"/>
      <w:r>
        <w:rPr>
          <w:rFonts w:ascii="宋体" w:hAnsi="宋体" w:cs="仿宋_GB2312" w:hint="eastAsia"/>
          <w:sz w:val="24"/>
          <w:szCs w:val="24"/>
        </w:rPr>
        <w:t>模的楼板。</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（2）60%≤水平构件比例≤80%，采用插值法计算得分。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（3）水平构件比例＝各层水平预制构件投影总面积÷各层水平投影总面积×100%。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（4）竖向主体结构、电梯井、管井、洞口的水平投影面积可不计</w:t>
      </w:r>
      <w:proofErr w:type="gramStart"/>
      <w:r>
        <w:rPr>
          <w:rFonts w:ascii="宋体" w:hAnsi="宋体" w:cs="仿宋_GB2312" w:hint="eastAsia"/>
          <w:sz w:val="24"/>
          <w:szCs w:val="24"/>
        </w:rPr>
        <w:t>入水平</w:t>
      </w:r>
      <w:proofErr w:type="gramEnd"/>
      <w:r>
        <w:rPr>
          <w:rFonts w:ascii="宋体" w:hAnsi="宋体" w:cs="仿宋_GB2312" w:hint="eastAsia"/>
          <w:sz w:val="24"/>
          <w:szCs w:val="24"/>
        </w:rPr>
        <w:t>投影总面积。</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3．装配化施工（1～2分）。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（1）按满足下列技术项得分：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梁</w:t>
      </w:r>
      <w:proofErr w:type="gramStart"/>
      <w:r>
        <w:rPr>
          <w:rFonts w:ascii="宋体" w:hAnsi="宋体" w:cs="仿宋_GB2312" w:hint="eastAsia"/>
          <w:sz w:val="24"/>
          <w:szCs w:val="24"/>
        </w:rPr>
        <w:t>梁</w:t>
      </w:r>
      <w:proofErr w:type="gramEnd"/>
      <w:r>
        <w:rPr>
          <w:rFonts w:ascii="宋体" w:hAnsi="宋体" w:cs="仿宋_GB2312" w:hint="eastAsia"/>
          <w:sz w:val="24"/>
          <w:szCs w:val="24"/>
        </w:rPr>
        <w:t>连接节点装配化施工比例≥80%，得1分；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梁柱连接节点装配化施工比例≥60%，得1分。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（2）节点装配化施工比例＝各层装配化施工节点数总和÷各层主体结构钢构件的连接节点数总和×100%。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（3）装配化施工节点</w:t>
      </w:r>
      <w:proofErr w:type="gramStart"/>
      <w:r>
        <w:rPr>
          <w:rFonts w:ascii="宋体" w:hAnsi="宋体" w:cs="仿宋_GB2312" w:hint="eastAsia"/>
          <w:sz w:val="24"/>
          <w:szCs w:val="24"/>
        </w:rPr>
        <w:t>是指钢构件</w:t>
      </w:r>
      <w:proofErr w:type="gramEnd"/>
      <w:r>
        <w:rPr>
          <w:rFonts w:ascii="宋体" w:hAnsi="宋体" w:cs="仿宋_GB2312" w:hint="eastAsia"/>
          <w:sz w:val="24"/>
          <w:szCs w:val="24"/>
        </w:rPr>
        <w:t>在工地现场采用全螺栓连接、销轴连接等无现场焊接方式连接的节点。</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（三）围护墙与内隔墙。</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sz w:val="24"/>
          <w:szCs w:val="24"/>
        </w:rPr>
        <w:t>墙体（含外墙、内隔墙）非砌筑、免抹灰，是指采用非砌筑墙体，表面垂直度和平整度偏差不大于4mm/2m，不需要采用普通砂浆找平。非砌筑墙体不包括混凝土砖、空心砖、加气混凝土砌块等现场砌筑的块材隔墙以及二次浇筑的填充墙。</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bCs/>
          <w:sz w:val="24"/>
          <w:szCs w:val="24"/>
        </w:rPr>
        <w:lastRenderedPageBreak/>
        <w:t>1．外墙非砌筑、免抹灰（5～8分）。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（1）80%≤外墙非砌筑、免抹灰比例≤100%，采用插值法计算得分。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（2）外墙非砌筑、免抹灰的比例＝各层非砌筑、免抹灰外墙的总长度÷各层外墙总长度×100%。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（3）长度计算时按外墙的外围长度，不扣除门窗、洞口的长度。</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2．外墙与装饰、保温隔热一体化（2～5分）。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（1）外墙与装饰、保温隔热一体化是指外墙采用预制外墙板，且保温层在工厂安装完成。</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（2）50%≤外墙与装饰、保温隔热一体化比例≤80%，采用插值法计算得分。</w:t>
      </w:r>
    </w:p>
    <w:p w:rsidR="003D31EF" w:rsidRDefault="003D31EF" w:rsidP="003D31EF">
      <w:pPr>
        <w:numPr>
          <w:ilvl w:val="0"/>
          <w:numId w:val="1"/>
        </w:num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外墙与装饰、保温隔热一体化比例＝各层装饰、保温隔热一体化外墙总长度÷各层外墙总长度×100%。</w:t>
      </w:r>
    </w:p>
    <w:p w:rsidR="003D31EF" w:rsidRDefault="003D31EF" w:rsidP="003D31EF">
      <w:pPr>
        <w:numPr>
          <w:ilvl w:val="0"/>
          <w:numId w:val="1"/>
        </w:num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若外墙采用单元式幕墙面积比例≥80%，则得5分。</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3．内</w:t>
      </w:r>
      <w:proofErr w:type="gramStart"/>
      <w:r>
        <w:rPr>
          <w:rFonts w:ascii="宋体" w:hAnsi="宋体" w:cs="仿宋_GB2312" w:hint="eastAsia"/>
          <w:bCs/>
          <w:sz w:val="24"/>
          <w:szCs w:val="24"/>
        </w:rPr>
        <w:t>隔墙非</w:t>
      </w:r>
      <w:proofErr w:type="gramEnd"/>
      <w:r>
        <w:rPr>
          <w:rFonts w:ascii="宋体" w:hAnsi="宋体" w:cs="仿宋_GB2312" w:hint="eastAsia"/>
          <w:bCs/>
          <w:sz w:val="24"/>
          <w:szCs w:val="24"/>
        </w:rPr>
        <w:t>砌筑、免抹灰（5～7分）。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（1）70%≤内</w:t>
      </w:r>
      <w:proofErr w:type="gramStart"/>
      <w:r>
        <w:rPr>
          <w:rFonts w:ascii="宋体" w:hAnsi="宋体" w:cs="仿宋_GB2312" w:hint="eastAsia"/>
          <w:sz w:val="24"/>
          <w:szCs w:val="24"/>
        </w:rPr>
        <w:t>隔墙非</w:t>
      </w:r>
      <w:proofErr w:type="gramEnd"/>
      <w:r>
        <w:rPr>
          <w:rFonts w:ascii="宋体" w:hAnsi="宋体" w:cs="仿宋_GB2312" w:hint="eastAsia"/>
          <w:sz w:val="24"/>
          <w:szCs w:val="24"/>
        </w:rPr>
        <w:t>砌筑、免抹灰比例≤100%，采用插值法计算得分。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（2）内</w:t>
      </w:r>
      <w:proofErr w:type="gramStart"/>
      <w:r>
        <w:rPr>
          <w:rFonts w:ascii="宋体" w:hAnsi="宋体" w:cs="仿宋_GB2312" w:hint="eastAsia"/>
          <w:sz w:val="24"/>
          <w:szCs w:val="24"/>
        </w:rPr>
        <w:t>隔墙非</w:t>
      </w:r>
      <w:proofErr w:type="gramEnd"/>
      <w:r>
        <w:rPr>
          <w:rFonts w:ascii="宋体" w:hAnsi="宋体" w:cs="仿宋_GB2312" w:hint="eastAsia"/>
          <w:sz w:val="24"/>
          <w:szCs w:val="24"/>
        </w:rPr>
        <w:t>砌筑、免抹灰的比例＝各层非砌筑、免抹灰内隔墙的总长度÷各层内隔墙总长度×100%。</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（3）长度计算时不扣除门窗、洞口的长度。公共建筑的电梯井、管井、洞口的隔墙可不计入墙体长度计算。</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（四）装修和机电。</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1．全装修（6分）。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全装修，是指建筑功能空间的固定面装修和设备设施安装全部完成，达到建筑使用功能和性能的基本要求。装配式建筑项目应</w:t>
      </w:r>
      <w:proofErr w:type="gramStart"/>
      <w:r>
        <w:rPr>
          <w:rFonts w:ascii="宋体" w:hAnsi="宋体" w:cs="仿宋_GB2312" w:hint="eastAsia"/>
          <w:sz w:val="24"/>
          <w:szCs w:val="24"/>
        </w:rPr>
        <w:t>按装</w:t>
      </w:r>
      <w:proofErr w:type="gramEnd"/>
      <w:r>
        <w:rPr>
          <w:rFonts w:ascii="宋体" w:hAnsi="宋体" w:cs="仿宋_GB2312" w:hint="eastAsia"/>
          <w:sz w:val="24"/>
          <w:szCs w:val="24"/>
        </w:rPr>
        <w:t>修设计图完成施工、装修交付，满足要求得6分；装修设计图应包括材料表、平面布置图、立面布置图、机电布置图、主要节点做法详图。</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（1）居住建筑全装修。</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居住建筑全装修范围包括建筑的公共区域、户内各功能空间（</w:t>
      </w:r>
      <w:proofErr w:type="gramStart"/>
      <w:r>
        <w:rPr>
          <w:rFonts w:ascii="宋体" w:hAnsi="宋体" w:cs="仿宋_GB2312" w:hint="eastAsia"/>
          <w:sz w:val="24"/>
          <w:szCs w:val="24"/>
        </w:rPr>
        <w:t>回迁房全</w:t>
      </w:r>
      <w:proofErr w:type="gramEnd"/>
      <w:r>
        <w:rPr>
          <w:rFonts w:ascii="宋体" w:hAnsi="宋体" w:cs="仿宋_GB2312" w:hint="eastAsia"/>
          <w:sz w:val="24"/>
          <w:szCs w:val="24"/>
        </w:rPr>
        <w:t>装修范围可只包括建筑的公共区域），应提供相应部分的装修设计图，要求装修设计完善，装修设计图与建筑、结构、机电设计一致。</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（2）公共建筑全装修。</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公共建筑全装修范围包括公共区域和已确定使用功能的室内区域，应提供相应部分的装修设计图，要求装修设计完善，装修设计图与建筑、结构、机电设计一致。</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2．集成厨房（1～4分）。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集成厨房，是指地面、吊顶、墙面、橱柜、厨房设备及管线等通过设计集成、工厂生产，在工地现场主要采用干式工法施工完成的厨房。</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lastRenderedPageBreak/>
        <w:t>（1）根据装修设计图和实施方案，满足下列技术项得分，其中 ①、② 每项得1分，③ 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墙面采用干挂</w:t>
      </w:r>
      <w:proofErr w:type="gramStart"/>
      <w:r>
        <w:rPr>
          <w:rFonts w:ascii="宋体" w:hAnsi="宋体" w:cs="仿宋_GB2312" w:hint="eastAsia"/>
          <w:sz w:val="24"/>
          <w:szCs w:val="24"/>
        </w:rPr>
        <w:t>或薄贴工艺</w:t>
      </w:r>
      <w:proofErr w:type="gramEnd"/>
      <w:r>
        <w:rPr>
          <w:rFonts w:ascii="宋体" w:hAnsi="宋体" w:cs="仿宋_GB2312" w:hint="eastAsia"/>
          <w:sz w:val="24"/>
          <w:szCs w:val="24"/>
        </w:rPr>
        <w:t>。（</w:t>
      </w:r>
      <w:proofErr w:type="gramStart"/>
      <w:r>
        <w:rPr>
          <w:rFonts w:ascii="宋体" w:hAnsi="宋体" w:cs="仿宋_GB2312" w:hint="eastAsia"/>
          <w:bCs/>
          <w:sz w:val="24"/>
          <w:szCs w:val="24"/>
        </w:rPr>
        <w:t>薄贴工艺</w:t>
      </w:r>
      <w:proofErr w:type="gramEnd"/>
      <w:r>
        <w:rPr>
          <w:rFonts w:ascii="宋体" w:hAnsi="宋体" w:cs="仿宋_GB2312" w:hint="eastAsia"/>
          <w:sz w:val="24"/>
          <w:szCs w:val="24"/>
        </w:rPr>
        <w:t>为采用瓷砖粘结剂进行铺贴，厚度为3～5mm）</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橱柜、灶具、五金等设备配置齐全。</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（2）集成厨房适用于分户设置厨房的住宅、宿舍、商务公寓等居住建筑，非居住建筑评分时，集成厨房可为缺少项。</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3．集成卫生间（1～8分）。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集成卫生间，是指地面、吊顶、墙面、洁具设备及管线等通过设计集成、工厂生产，在工地现场主要采用干式工法施工完成的卫生间。</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（1）根据装修设计图和实施方案，满足下列技术项得分，其中 ①、② 每项得1分，③ 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墙面采用干挂</w:t>
      </w:r>
      <w:proofErr w:type="gramStart"/>
      <w:r>
        <w:rPr>
          <w:rFonts w:ascii="宋体" w:hAnsi="宋体" w:cs="仿宋_GB2312" w:hint="eastAsia"/>
          <w:sz w:val="24"/>
          <w:szCs w:val="24"/>
        </w:rPr>
        <w:t>或薄贴工艺</w:t>
      </w:r>
      <w:proofErr w:type="gramEnd"/>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洁柜、洁具、五金等设备配置齐全。</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w:t>
      </w:r>
      <w:proofErr w:type="gramStart"/>
      <w:r>
        <w:rPr>
          <w:rFonts w:ascii="宋体" w:hAnsi="宋体" w:cs="仿宋_GB2312" w:hint="eastAsia"/>
          <w:sz w:val="24"/>
          <w:szCs w:val="24"/>
        </w:rPr>
        <w:t>若整体卫浴应用</w:t>
      </w:r>
      <w:proofErr w:type="gramEnd"/>
      <w:r>
        <w:rPr>
          <w:rFonts w:ascii="宋体" w:hAnsi="宋体" w:cs="仿宋_GB2312" w:hint="eastAsia"/>
          <w:sz w:val="24"/>
          <w:szCs w:val="24"/>
        </w:rPr>
        <w:t>比例≥60%（整体卫</w:t>
      </w:r>
      <w:proofErr w:type="gramStart"/>
      <w:r>
        <w:rPr>
          <w:rFonts w:ascii="宋体" w:hAnsi="宋体" w:cs="仿宋_GB2312" w:hint="eastAsia"/>
          <w:sz w:val="24"/>
          <w:szCs w:val="24"/>
        </w:rPr>
        <w:t>浴应用</w:t>
      </w:r>
      <w:proofErr w:type="gramEnd"/>
      <w:r>
        <w:rPr>
          <w:rFonts w:ascii="宋体" w:hAnsi="宋体" w:cs="仿宋_GB2312" w:hint="eastAsia"/>
          <w:sz w:val="24"/>
          <w:szCs w:val="24"/>
        </w:rPr>
        <w:t>比例＝整体卫</w:t>
      </w:r>
      <w:proofErr w:type="gramStart"/>
      <w:r>
        <w:rPr>
          <w:rFonts w:ascii="宋体" w:hAnsi="宋体" w:cs="仿宋_GB2312" w:hint="eastAsia"/>
          <w:sz w:val="24"/>
          <w:szCs w:val="24"/>
        </w:rPr>
        <w:t>浴数量</w:t>
      </w:r>
      <w:proofErr w:type="gramEnd"/>
      <w:r>
        <w:rPr>
          <w:rFonts w:ascii="宋体" w:hAnsi="宋体" w:cs="仿宋_GB2312" w:hint="eastAsia"/>
          <w:sz w:val="24"/>
          <w:szCs w:val="24"/>
        </w:rPr>
        <w:t>÷卫生间总数量×100%），</w:t>
      </w:r>
      <w:proofErr w:type="gramStart"/>
      <w:r>
        <w:rPr>
          <w:rFonts w:ascii="宋体" w:hAnsi="宋体" w:cs="仿宋_GB2312" w:hint="eastAsia"/>
          <w:sz w:val="24"/>
          <w:szCs w:val="24"/>
        </w:rPr>
        <w:t>且其它</w:t>
      </w:r>
      <w:proofErr w:type="gramEnd"/>
      <w:r>
        <w:rPr>
          <w:rFonts w:ascii="宋体" w:hAnsi="宋体" w:cs="仿宋_GB2312" w:hint="eastAsia"/>
          <w:sz w:val="24"/>
          <w:szCs w:val="24"/>
        </w:rPr>
        <w:t>卫生间符合（1）中的做法 ①、②，则得8分。</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4．干式工法（1～4分）。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干式工法，是指装修施工时取消普通砂浆等湿作业的工法。</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根据建筑设计图、结构设计图、装修设计图和实施方案，按满足下列（1）和（2）中的技术项得分，每项得1分。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（1）楼面、地面干式工法。</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楼面混凝土一次性成型，地面水平度和平整度偏差不大于4mm/2m。</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（2）公共区域装修干式工法。</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墙面采用干挂</w:t>
      </w:r>
      <w:proofErr w:type="gramStart"/>
      <w:r>
        <w:rPr>
          <w:rFonts w:ascii="宋体" w:hAnsi="宋体" w:cs="仿宋_GB2312" w:hint="eastAsia"/>
          <w:sz w:val="24"/>
          <w:szCs w:val="24"/>
        </w:rPr>
        <w:t>或薄贴工艺</w:t>
      </w:r>
      <w:proofErr w:type="gramEnd"/>
      <w:r>
        <w:rPr>
          <w:rFonts w:ascii="宋体" w:hAnsi="宋体" w:cs="仿宋_GB2312" w:hint="eastAsia"/>
          <w:sz w:val="24"/>
          <w:szCs w:val="24"/>
        </w:rPr>
        <w:t>。</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地面采用架铺、</w:t>
      </w:r>
      <w:proofErr w:type="gramStart"/>
      <w:r>
        <w:rPr>
          <w:rFonts w:ascii="宋体" w:hAnsi="宋体" w:cs="仿宋_GB2312" w:hint="eastAsia"/>
          <w:sz w:val="24"/>
          <w:szCs w:val="24"/>
        </w:rPr>
        <w:t>干铺或薄贴</w:t>
      </w:r>
      <w:proofErr w:type="gramEnd"/>
      <w:r>
        <w:rPr>
          <w:rFonts w:ascii="宋体" w:hAnsi="宋体" w:cs="仿宋_GB2312" w:hint="eastAsia"/>
          <w:sz w:val="24"/>
          <w:szCs w:val="24"/>
        </w:rPr>
        <w:t>工艺。</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5．机电装修一体化、管线分离（2～5分）。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按满足下列技术项得分，② 和 ③ 不能同时得分。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① 建筑、结构、机电与装修一体化设计，实现各专业协调，满足预制构件生产、装配式施工的要求，得2分。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② 机电管线在结构和墙体内一次性预埋预留，墙体布置、机电管线预埋预留和定位须与装修要求一致，无现场剔凿，得1分。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③ 采用主体结构和管线分离，机电管线应敷设在地面架空层、非承重墙体</w:t>
      </w:r>
      <w:r>
        <w:rPr>
          <w:rFonts w:ascii="宋体" w:hAnsi="宋体" w:cs="仿宋_GB2312" w:hint="eastAsia"/>
          <w:sz w:val="24"/>
          <w:szCs w:val="24"/>
        </w:rPr>
        <w:lastRenderedPageBreak/>
        <w:t>空腔和吊顶内等位置，无现场剔凿，得3分。</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6．穿插流水施工（3分）。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穿插流水施工，是指主体结构、内隔墙、机电安装、外装饰、室内装修各工序同步流水作业的施工组织方式。</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（1）根据实施方案，有完整穿插施工方案，实现地上部分主体结构、内隔墙、机电、外装饰、装修（含贴砖、涂料、吊顶等）工序进行流水穿插施工，得3分。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w:t>
      </w:r>
      <w:r>
        <w:rPr>
          <w:rFonts w:ascii="宋体" w:hAnsi="宋体" w:cs="仿宋_GB2312" w:hint="eastAsia"/>
          <w:spacing w:val="-2"/>
          <w:sz w:val="24"/>
          <w:szCs w:val="24"/>
        </w:rPr>
        <w:t>地上部分30层及以上的建筑宜采用穿插流水施工，30层以下的建筑评分时</w:t>
      </w:r>
      <w:r>
        <w:rPr>
          <w:rFonts w:ascii="宋体" w:hAnsi="宋体" w:cs="仿宋_GB2312" w:hint="eastAsia"/>
          <w:sz w:val="24"/>
          <w:szCs w:val="24"/>
        </w:rPr>
        <w:t>，穿插流水施工可为缺少项。</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（五）信息化应用。</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1．BIM应用（1～3分）。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根据项目建设不同阶段的BIM应用情况得分：设计阶段应用得1分；施工阶段应用得1分；设计、生产、施工阶段一体化全过程应用得3分。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（1）设计阶段，应用BIM进行施工图设计，包括各专业协同、管线综合、BIM模型制作、施工图和预制构件（钢构件）</w:t>
      </w:r>
      <w:proofErr w:type="gramStart"/>
      <w:r>
        <w:rPr>
          <w:rFonts w:ascii="宋体" w:hAnsi="宋体" w:cs="仿宋_GB2312" w:hint="eastAsia"/>
          <w:sz w:val="24"/>
          <w:szCs w:val="24"/>
        </w:rPr>
        <w:t>图信息</w:t>
      </w:r>
      <w:proofErr w:type="gramEnd"/>
      <w:r>
        <w:rPr>
          <w:rFonts w:ascii="宋体" w:hAnsi="宋体" w:cs="仿宋_GB2312" w:hint="eastAsia"/>
          <w:sz w:val="24"/>
          <w:szCs w:val="24"/>
        </w:rPr>
        <w:t>表达、预制构件（钢构件）连接节点设计、钢筋碰撞、施工工序模拟等，提升设计质量。</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（2）生产阶段，应用BIM传递设计阶段的信息，进行预制构件（钢构件）和装配式模板深化设计和生产管理，提升预制构件（钢构件）和装配式模板生产质量和效率。</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（3）施工阶段，应用BIM传递设计、生产阶段的信息，进行施工全过程管控，实现对施工进度、人力、材料、设备、成本、安全、质量和场地布置的多维动态集成管理，提升施工质量和效率。</w:t>
      </w:r>
    </w:p>
    <w:p w:rsidR="003D31EF" w:rsidRDefault="003D31EF" w:rsidP="003D31EF">
      <w:pPr>
        <w:spacing w:line="396" w:lineRule="atLeast"/>
        <w:ind w:firstLineChars="200" w:firstLine="480"/>
        <w:rPr>
          <w:rFonts w:ascii="宋体" w:hAnsi="宋体" w:cs="仿宋_GB2312" w:hint="eastAsia"/>
          <w:bCs/>
          <w:sz w:val="24"/>
          <w:szCs w:val="24"/>
        </w:rPr>
      </w:pPr>
      <w:r>
        <w:rPr>
          <w:rFonts w:ascii="宋体" w:hAnsi="宋体" w:cs="仿宋_GB2312" w:hint="eastAsia"/>
          <w:bCs/>
          <w:sz w:val="24"/>
          <w:szCs w:val="24"/>
        </w:rPr>
        <w:t>2．信息化管理（1～2分）。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生产、施工阶段应用信息化管理软件和移动APP，通过互联网、物联网、大数据、智能化等提高工程质量和管理效率。满足生产阶段、施工阶段的应用情况得分，每项得1分。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1）生产阶段，采用RFID技术、物联网、信息化软件，建立预制构件（钢构件）生产管理系统，每个预制构件（钢构件）有唯一的身份标识，建立预制构件（钢构件）生产信息库，用于记录预制构件（钢构件）生产关键信息，追溯、管理预制构件（钢构件）的生产质量、生产进度，实现生产自动化和智能化。</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2）施工阶段，采用信息化软件、移动APP等工具，建立预制构件（钢构件）施工管理系统，结合预制构件（钢构件）中的身份识别标识，记录预制构件（钢构件）吊装、施工关键信息，追溯、管理预制构件（钢构件）施工质量、施工进度等，实现施工管理过程的精细化、数据化和智能化。</w:t>
      </w:r>
    </w:p>
    <w:p w:rsidR="003D31EF" w:rsidRDefault="003D31EF" w:rsidP="003D31EF">
      <w:pPr>
        <w:spacing w:line="396" w:lineRule="atLeast"/>
        <w:ind w:firstLineChars="200" w:firstLine="480"/>
        <w:rPr>
          <w:rFonts w:ascii="黑体" w:eastAsia="黑体" w:hAnsi="宋体" w:cs="黑体" w:hint="eastAsia"/>
          <w:bCs/>
          <w:sz w:val="24"/>
          <w:szCs w:val="24"/>
        </w:rPr>
      </w:pPr>
      <w:r>
        <w:rPr>
          <w:rFonts w:ascii="黑体" w:eastAsia="黑体" w:hAnsi="宋体" w:cs="黑体" w:hint="eastAsia"/>
          <w:bCs/>
          <w:sz w:val="24"/>
          <w:szCs w:val="24"/>
        </w:rPr>
        <w:t>五、装配式建筑加分项</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lastRenderedPageBreak/>
        <w:t>工程总承包（EPC）模式，即“设计、采购、施工”模式。建设单位与工程总承包商签订工程总承包合同，把建设项目的设计、采购、施工和调试服务工作全部委托给工程总承包商负责组织实施。根据项目工程总承包（EPC）模式采用情况，满足下列要求之一的给予加分项得分。</w:t>
      </w:r>
    </w:p>
    <w:p w:rsidR="003D31EF" w:rsidRDefault="003D31EF" w:rsidP="003D31EF">
      <w:pPr>
        <w:spacing w:line="396" w:lineRule="atLeast"/>
        <w:ind w:firstLineChars="200" w:firstLine="480"/>
        <w:rPr>
          <w:rFonts w:ascii="宋体" w:hAnsi="宋体" w:cs="仿宋_GB2312" w:hint="eastAsia"/>
          <w:sz w:val="24"/>
          <w:szCs w:val="24"/>
        </w:rPr>
      </w:pPr>
      <w:r>
        <w:rPr>
          <w:rFonts w:ascii="宋体" w:hAnsi="宋体" w:cs="仿宋_GB2312" w:hint="eastAsia"/>
          <w:sz w:val="24"/>
          <w:szCs w:val="24"/>
        </w:rPr>
        <w:t>（一）工程项目建设模式采取工程总承包（EPC）模式，工程总承包商为一家单位，全面负责建设项目的设计、采购、施工和调试服务工作。工程总承包合同满足本条要求，加分项得2分。</w:t>
      </w:r>
    </w:p>
    <w:p w:rsidR="003D31EF" w:rsidRDefault="003D31EF" w:rsidP="003D31EF">
      <w:pPr>
        <w:spacing w:line="396" w:lineRule="atLeast"/>
        <w:ind w:firstLineChars="200" w:firstLine="480"/>
        <w:rPr>
          <w:rFonts w:ascii="宋体" w:hAnsi="宋体" w:hint="eastAsia"/>
          <w:sz w:val="24"/>
          <w:szCs w:val="24"/>
        </w:rPr>
      </w:pPr>
      <w:r>
        <w:rPr>
          <w:rFonts w:ascii="宋体" w:hAnsi="宋体" w:cs="仿宋_GB2312" w:hint="eastAsia"/>
          <w:sz w:val="24"/>
          <w:szCs w:val="24"/>
        </w:rPr>
        <w:t>（二）工程项目建设模式采取工程总承包（EPC）模式，工程总承包商为联合体单位，联合体中有总负责单位，负责统筹建设项目的设计、采购、施工和调试服务工作。工程总承包合同满足本条要求，加分项得1分。</w:t>
      </w:r>
    </w:p>
    <w:p w:rsidR="002056BF" w:rsidRDefault="002056BF"/>
    <w:sectPr w:rsidR="00205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796CE"/>
    <w:multiLevelType w:val="singleLevel"/>
    <w:tmpl w:val="4E4796CE"/>
    <w:lvl w:ilvl="0">
      <w:start w:val="3"/>
      <w:numFmt w:val="decimal"/>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EF"/>
    <w:rsid w:val="002056BF"/>
    <w:rsid w:val="003D3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1E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1E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1598</Words>
  <Characters>9110</Characters>
  <Application>Microsoft Office Word</Application>
  <DocSecurity>0</DocSecurity>
  <Lines>75</Lines>
  <Paragraphs>21</Paragraphs>
  <ScaleCrop>false</ScaleCrop>
  <Company>Microsoft</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yh</cp:lastModifiedBy>
  <cp:revision>1</cp:revision>
  <dcterms:created xsi:type="dcterms:W3CDTF">2018-11-19T07:36:00Z</dcterms:created>
  <dcterms:modified xsi:type="dcterms:W3CDTF">2018-11-19T07:37:00Z</dcterms:modified>
</cp:coreProperties>
</file>