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附件</w:t>
      </w:r>
    </w:p>
    <w:p>
      <w:pPr>
        <w:tabs>
          <w:tab w:val="left" w:pos="3686"/>
          <w:tab w:val="left" w:pos="3969"/>
          <w:tab w:val="left" w:pos="4111"/>
        </w:tabs>
        <w:spacing w:after="93" w:afterLines="30" w:line="0" w:lineRule="atLeast"/>
        <w:jc w:val="center"/>
        <w:rPr>
          <w:rFonts w:hint="eastAsia" w:ascii="宋体" w:hAnsi="宋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专家</w:t>
      </w:r>
      <w:r>
        <w:rPr>
          <w:rFonts w:hint="eastAsia" w:ascii="宋体" w:hAnsi="宋体" w:cs="宋体"/>
          <w:kern w:val="0"/>
          <w:sz w:val="36"/>
          <w:szCs w:val="36"/>
        </w:rPr>
        <w:t>评价标准</w:t>
      </w:r>
    </w:p>
    <w:tbl>
      <w:tblPr>
        <w:tblStyle w:val="3"/>
        <w:tblW w:w="8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51"/>
        <w:gridCol w:w="7377"/>
        <w:gridCol w:w="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一级指标</w:t>
            </w: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二级指标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企业基本情况</w:t>
            </w: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1．企业主营业务是否突出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2．企业是否具有与主营业务相关的自主知识产权、核心技术或独特的核心竞争力、独特的商业模式等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3．</w:t>
            </w:r>
            <w:r>
              <w:rPr>
                <w:rFonts w:hint="eastAsia" w:ascii="宋体" w:hAnsi="宋体"/>
                <w:bCs/>
                <w:spacing w:val="-6"/>
                <w:kern w:val="21"/>
                <w:szCs w:val="21"/>
              </w:rPr>
              <w:t>企业产品或服务是否已得到市场检验，是否在行业或细分市场处于领先水平，评价企业是否拥有明显创新特点的新型业态，或处于产业链关键环节或有特定品牌价值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4．企业是否拥有与主营业务相适应的创新团队和经营管理团队，企业是否建立了与企业发展阶段相适应的创新机制、制度等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保税业务开展情况</w:t>
            </w: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5．企业上年度营业收入情况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A．100万元以下（0-3分）B．100万-500万元（4-10分）C．500万元以上（10分）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6．企业上年度进出口规模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A．</w:t>
            </w:r>
            <w:r>
              <w:rPr>
                <w:rFonts w:hint="eastAsia" w:ascii="宋体" w:hAnsi="宋体"/>
                <w:bCs/>
                <w:spacing w:val="-2"/>
                <w:kern w:val="21"/>
                <w:szCs w:val="21"/>
              </w:rPr>
              <w:t>100万元以下（0-3分）B．100万-1000万元（4-10分）C．1000万元以上（10分）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成长性</w:t>
            </w: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7．近两年保税业务营业收入增长率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A．</w:t>
            </w:r>
            <w:r>
              <w:rPr>
                <w:rFonts w:hint="eastAsia" w:ascii="宋体" w:hAnsi="宋体"/>
                <w:bCs/>
                <w:spacing w:val="-4"/>
                <w:kern w:val="21"/>
                <w:szCs w:val="21"/>
              </w:rPr>
              <w:t>5%以下（0-3分）B．5%-15%（4-6分）C．15%-35%（7-15分）D．35%以上（15分）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8．近两年进出口额增长率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A．</w:t>
            </w:r>
            <w:r>
              <w:rPr>
                <w:rFonts w:hint="eastAsia" w:ascii="宋体" w:hAnsi="宋体"/>
                <w:bCs/>
                <w:spacing w:val="-4"/>
                <w:kern w:val="0"/>
                <w:szCs w:val="21"/>
              </w:rPr>
              <w:t>5%以下（0-3分）B．5%-15%（4-6分）C．15%-35%（7-15分）D．35%以上（15分）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纳税能力</w:t>
            </w: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9．企业上年度纳税总额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A．50万元以下（0-5分）B．50万-200万元（6-10分）C．200万元以上（10分）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加分项</w:t>
            </w: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获得海关认证情况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A．一般认证（2分）B．AEO高级认证（5分）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企业上市及挂牌情况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A．新三板挂牌（2分）B．主板、中小板及创业板上市（5分）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6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国家高新技术企业认定情况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6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取得国家高新技术企业认定（5分）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F6766"/>
    <w:rsid w:val="5F2F67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2018-04-28T08:17:00Z</dcterms:created>
  <dc:creator>琉璃</dc:creator>
  <cp:lastModifiedBy>琉璃</cp:lastModifiedBy>
  <dcterms:modified xsi:type="dcterms:W3CDTF">2018-04-28T08:17:55Z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