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深圳市保障性住房收购价格测算指引</w:t>
      </w:r>
    </w:p>
    <w:p>
      <w:pPr>
        <w:spacing w:before="93" w:beforeLines="30" w:line="396" w:lineRule="atLeast"/>
        <w:ind w:firstLine="480" w:firstLineChars="200"/>
        <w:rPr>
          <w:rFonts w:hint="eastAsia" w:ascii="宋体" w:hAnsi="宋体"/>
          <w:sz w:val="24"/>
          <w:szCs w:val="24"/>
        </w:rPr>
      </w:pPr>
      <w:r>
        <w:rPr>
          <w:rFonts w:hint="eastAsia" w:ascii="宋体" w:hAnsi="宋体"/>
          <w:sz w:val="24"/>
          <w:szCs w:val="24"/>
        </w:rPr>
        <w:t>根据《深圳市保障性住房收购规程》，结合本市实际情况，制定本</w:t>
      </w:r>
      <w:bookmarkStart w:id="0" w:name="_GoBack"/>
      <w:bookmarkEnd w:id="0"/>
      <w:r>
        <w:rPr>
          <w:rFonts w:hint="eastAsia" w:ascii="宋体" w:hAnsi="宋体"/>
          <w:sz w:val="24"/>
          <w:szCs w:val="24"/>
        </w:rPr>
        <w:t>指引。</w:t>
      </w:r>
    </w:p>
    <w:p>
      <w:pPr>
        <w:spacing w:line="396" w:lineRule="atLeast"/>
        <w:ind w:firstLine="480" w:firstLineChars="200"/>
        <w:rPr>
          <w:rFonts w:hint="eastAsia" w:ascii="宋体" w:hAnsi="宋体"/>
          <w:sz w:val="24"/>
          <w:szCs w:val="24"/>
        </w:rPr>
      </w:pPr>
      <w:r>
        <w:rPr>
          <w:rFonts w:hint="eastAsia" w:ascii="宋体" w:hAnsi="宋体"/>
          <w:sz w:val="24"/>
          <w:szCs w:val="24"/>
        </w:rPr>
        <w:t>本指引包括如下四个部分：《第一部分：建设成本计算方式》《第二部分：合理利润计算方式》《第三部分：户内装饰装修造价确定原则》《第四部分：税金计算方式》。每个部分的计算方式都以单位价格计算，采用文字说明与表格相结合的形式，表格所指数据或者计算方式等需结合文字说明使用。</w:t>
      </w:r>
    </w:p>
    <w:p>
      <w:pPr>
        <w:spacing w:line="400" w:lineRule="atLeast"/>
        <w:ind w:firstLine="480" w:firstLineChars="200"/>
        <w:rPr>
          <w:rFonts w:hint="eastAsia" w:ascii="宋体" w:hAnsi="宋体"/>
          <w:sz w:val="24"/>
          <w:szCs w:val="24"/>
        </w:rPr>
      </w:pPr>
      <w:r>
        <w:rPr>
          <w:rFonts w:hint="eastAsia" w:ascii="宋体" w:hAnsi="宋体"/>
          <w:sz w:val="24"/>
          <w:szCs w:val="24"/>
        </w:rPr>
        <w:t>深圳市保障性住房收购价格计算公式为：</w:t>
      </w:r>
    </w:p>
    <w:p>
      <w:pPr>
        <w:spacing w:line="400" w:lineRule="atLeast"/>
        <w:ind w:firstLine="480" w:firstLineChars="200"/>
        <w:rPr>
          <w:rFonts w:hint="eastAsia" w:ascii="宋体" w:hAnsi="宋体"/>
          <w:sz w:val="24"/>
          <w:szCs w:val="24"/>
        </w:rPr>
      </w:pPr>
      <w:r>
        <w:rPr>
          <w:rFonts w:hint="eastAsia" w:ascii="宋体" w:hAnsi="宋体"/>
          <w:sz w:val="24"/>
          <w:szCs w:val="24"/>
        </w:rPr>
        <w:t>保障性住房收购总价格＝保障性住房收购面积（保障性住房收购面积在未有测绘报告的情况下，可采用建设工程规划许可证或者土地出让合同中的建筑面积预算，最终以竣工测绘报告的建筑面积为准）×单位收购价格（单位收购价格＝建设成本＋合理利润＋户内装饰装修造价＋收购双方约定的其他项目＋法定税金）</w:t>
      </w:r>
    </w:p>
    <w:p>
      <w:pPr>
        <w:rPr>
          <w:rFonts w:hint="eastAsia"/>
          <w:szCs w:val="24"/>
        </w:rPr>
      </w:pPr>
    </w:p>
    <w:p>
      <w:pPr>
        <w:rPr>
          <w:rFonts w:hint="eastAsia"/>
          <w:szCs w:val="24"/>
        </w:rPr>
      </w:pPr>
    </w:p>
    <w:p>
      <w:pPr>
        <w:rPr>
          <w:rFonts w:hint="eastAsia"/>
          <w:szCs w:val="24"/>
        </w:rPr>
      </w:pPr>
    </w:p>
    <w:p>
      <w:pPr>
        <w:snapToGrid w:val="0"/>
        <w:spacing w:line="0" w:lineRule="atLeast"/>
        <w:jc w:val="center"/>
        <w:rPr>
          <w:rFonts w:hint="eastAsia" w:ascii="宋体" w:hAnsi="宋体"/>
          <w:szCs w:val="21"/>
        </w:rPr>
      </w:pPr>
      <w:r>
        <w:rPr>
          <w:rFonts w:hint="eastAsia" w:ascii="宋体" w:hAnsi="宋体"/>
          <w:sz w:val="36"/>
          <w:szCs w:val="36"/>
        </w:rPr>
        <w:t>收购价格构成示意图</w:t>
      </w:r>
    </w:p>
    <w:p>
      <w:pPr>
        <w:autoSpaceDN w:val="0"/>
        <w:spacing w:line="260" w:lineRule="exact"/>
        <w:rPr>
          <w:rFonts w:ascii="宋体" w:hAnsi="宋体"/>
          <w:b/>
          <w:szCs w:val="21"/>
        </w:rPr>
      </w:pPr>
      <w:r>
        <w:rPr>
          <w:rFonts w:ascii="宋体" w:hAnsi="宋体"/>
          <w:szCs w:val="21"/>
        </w:rPr>
        <mc:AlternateContent>
          <mc:Choice Requires="wpg">
            <w:drawing>
              <wp:anchor distT="0" distB="0" distL="114300" distR="114300" simplePos="0" relativeHeight="251658240" behindDoc="0" locked="0" layoutInCell="1" allowOverlap="1">
                <wp:simplePos x="0" y="0"/>
                <wp:positionH relativeFrom="column">
                  <wp:posOffset>88900</wp:posOffset>
                </wp:positionH>
                <wp:positionV relativeFrom="paragraph">
                  <wp:posOffset>99695</wp:posOffset>
                </wp:positionV>
                <wp:extent cx="5039995" cy="4216400"/>
                <wp:effectExtent l="4445" t="4445" r="22860" b="8255"/>
                <wp:wrapNone/>
                <wp:docPr id="38" name="组合 2"/>
                <wp:cNvGraphicFramePr/>
                <a:graphic xmlns:a="http://schemas.openxmlformats.org/drawingml/2006/main">
                  <a:graphicData uri="http://schemas.microsoft.com/office/word/2010/wordprocessingGroup">
                    <wpg:wgp>
                      <wpg:cNvGrpSpPr/>
                      <wpg:grpSpPr>
                        <a:xfrm>
                          <a:off x="0" y="0"/>
                          <a:ext cx="5039995" cy="4216400"/>
                          <a:chOff x="1728" y="2892"/>
                          <a:chExt cx="7937" cy="6640"/>
                        </a:xfrm>
                      </wpg:grpSpPr>
                      <wps:wsp>
                        <wps:cNvPr id="1" name="直线 143"/>
                        <wps:cNvSpPr/>
                        <wps:spPr>
                          <a:xfrm>
                            <a:off x="3880" y="4940"/>
                            <a:ext cx="340" cy="1"/>
                          </a:xfrm>
                          <a:prstGeom prst="line">
                            <a:avLst/>
                          </a:prstGeom>
                          <a:ln w="9525" cap="flat" cmpd="sng">
                            <a:solidFill>
                              <a:srgbClr val="000000"/>
                            </a:solidFill>
                            <a:prstDash val="solid"/>
                            <a:headEnd type="none" w="med" len="med"/>
                            <a:tailEnd type="none" w="med" len="med"/>
                          </a:ln>
                        </wps:spPr>
                        <wps:bodyPr upright="1"/>
                      </wps:wsp>
                      <wps:wsp>
                        <wps:cNvPr id="2" name="直线 140"/>
                        <wps:cNvSpPr/>
                        <wps:spPr>
                          <a:xfrm>
                            <a:off x="5709" y="3624"/>
                            <a:ext cx="213" cy="1"/>
                          </a:xfrm>
                          <a:prstGeom prst="line">
                            <a:avLst/>
                          </a:prstGeom>
                          <a:ln w="9525" cap="flat" cmpd="sng">
                            <a:solidFill>
                              <a:srgbClr val="000000"/>
                            </a:solidFill>
                            <a:prstDash val="solid"/>
                            <a:headEnd type="none" w="med" len="med"/>
                            <a:tailEnd type="none" w="med" len="med"/>
                          </a:ln>
                        </wps:spPr>
                        <wps:bodyPr upright="1"/>
                      </wps:wsp>
                      <wpg:grpSp>
                        <wpg:cNvPr id="37" name="组合 5"/>
                        <wpg:cNvGrpSpPr/>
                        <wpg:grpSpPr>
                          <a:xfrm>
                            <a:off x="1728" y="2892"/>
                            <a:ext cx="7937" cy="6640"/>
                            <a:chOff x="1728" y="2892"/>
                            <a:chExt cx="7937" cy="6640"/>
                          </a:xfrm>
                        </wpg:grpSpPr>
                        <wpg:grpSp>
                          <wpg:cNvPr id="9" name="组合 6"/>
                          <wpg:cNvGrpSpPr/>
                          <wpg:grpSpPr>
                            <a:xfrm>
                              <a:off x="2194" y="4374"/>
                              <a:ext cx="517" cy="5043"/>
                              <a:chOff x="2194" y="4374"/>
                              <a:chExt cx="517" cy="5043"/>
                            </a:xfrm>
                          </wpg:grpSpPr>
                          <wps:wsp>
                            <wps:cNvPr id="3" name="自选图形 136"/>
                            <wps:cNvCnPr/>
                            <wps:spPr>
                              <a:xfrm rot="10800000" flipH="1" flipV="1">
                                <a:off x="2710" y="4374"/>
                                <a:ext cx="1" cy="2883"/>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4" name="直线 141"/>
                            <wps:cNvSpPr/>
                            <wps:spPr>
                              <a:xfrm>
                                <a:off x="2349" y="6203"/>
                                <a:ext cx="340" cy="1"/>
                              </a:xfrm>
                              <a:prstGeom prst="line">
                                <a:avLst/>
                              </a:prstGeom>
                              <a:ln w="9525" cap="flat" cmpd="sng">
                                <a:solidFill>
                                  <a:srgbClr val="000000"/>
                                </a:solidFill>
                                <a:prstDash val="solid"/>
                                <a:headEnd type="none" w="med" len="med"/>
                                <a:tailEnd type="none" w="med" len="med"/>
                              </a:ln>
                            </wps:spPr>
                            <wps:bodyPr upright="1"/>
                          </wps:wsp>
                          <wps:wsp>
                            <wps:cNvPr id="5" name="直线 146"/>
                            <wps:cNvSpPr/>
                            <wps:spPr>
                              <a:xfrm>
                                <a:off x="2194" y="6449"/>
                                <a:ext cx="170" cy="1"/>
                              </a:xfrm>
                              <a:prstGeom prst="line">
                                <a:avLst/>
                              </a:prstGeom>
                              <a:ln w="9525" cap="flat" cmpd="sng">
                                <a:solidFill>
                                  <a:srgbClr val="000000"/>
                                </a:solidFill>
                                <a:prstDash val="solid"/>
                                <a:headEnd type="none" w="med" len="med"/>
                                <a:tailEnd type="none" w="med" len="med"/>
                              </a:ln>
                            </wps:spPr>
                            <wps:bodyPr upright="1"/>
                          </wps:wsp>
                          <wps:wsp>
                            <wps:cNvPr id="6" name="直线 148"/>
                            <wps:cNvSpPr/>
                            <wps:spPr>
                              <a:xfrm>
                                <a:off x="2349" y="8232"/>
                                <a:ext cx="340" cy="1"/>
                              </a:xfrm>
                              <a:prstGeom prst="line">
                                <a:avLst/>
                              </a:prstGeom>
                              <a:ln w="9525" cap="flat" cmpd="sng">
                                <a:solidFill>
                                  <a:srgbClr val="000000"/>
                                </a:solidFill>
                                <a:prstDash val="solid"/>
                                <a:headEnd type="none" w="med" len="med"/>
                                <a:tailEnd type="none" w="med" len="med"/>
                              </a:ln>
                            </wps:spPr>
                            <wps:bodyPr upright="1"/>
                          </wps:wsp>
                          <wps:wsp>
                            <wps:cNvPr id="7" name="直线 150"/>
                            <wps:cNvSpPr/>
                            <wps:spPr>
                              <a:xfrm>
                                <a:off x="2349" y="9416"/>
                                <a:ext cx="340" cy="1"/>
                              </a:xfrm>
                              <a:prstGeom prst="line">
                                <a:avLst/>
                              </a:prstGeom>
                              <a:ln w="9525" cap="flat" cmpd="sng">
                                <a:solidFill>
                                  <a:srgbClr val="000000"/>
                                </a:solidFill>
                                <a:prstDash val="solid"/>
                                <a:headEnd type="none" w="med" len="med"/>
                                <a:tailEnd type="none" w="med" len="med"/>
                              </a:ln>
                            </wps:spPr>
                            <wps:bodyPr upright="1"/>
                          </wps:wsp>
                          <wps:wsp>
                            <wps:cNvPr id="8" name="自选图形 151"/>
                            <wps:cNvCnPr/>
                            <wps:spPr>
                              <a:xfrm>
                                <a:off x="2349" y="7257"/>
                                <a:ext cx="6" cy="2152"/>
                              </a:xfrm>
                              <a:prstGeom prst="straightConnector1">
                                <a:avLst/>
                              </a:prstGeom>
                              <a:ln w="9525" cap="flat" cmpd="sng">
                                <a:solidFill>
                                  <a:srgbClr val="000000"/>
                                </a:solidFill>
                                <a:prstDash val="solid"/>
                                <a:headEnd type="none" w="med" len="med"/>
                                <a:tailEnd type="none" w="med" len="med"/>
                              </a:ln>
                            </wps:spPr>
                            <wps:bodyPr/>
                          </wps:wsp>
                        </wpg:grpSp>
                        <wpg:grpSp>
                          <wpg:cNvPr id="36" name="组合 13"/>
                          <wpg:cNvGrpSpPr/>
                          <wpg:grpSpPr>
                            <a:xfrm>
                              <a:off x="1728" y="2892"/>
                              <a:ext cx="7937" cy="6640"/>
                              <a:chOff x="1728" y="2892"/>
                              <a:chExt cx="7937" cy="6640"/>
                            </a:xfrm>
                          </wpg:grpSpPr>
                          <wpg:grpSp>
                            <wpg:cNvPr id="28" name="组合 14"/>
                            <wpg:cNvGrpSpPr/>
                            <wpg:grpSpPr>
                              <a:xfrm>
                                <a:off x="3710" y="2892"/>
                                <a:ext cx="5955" cy="2875"/>
                                <a:chOff x="3710" y="2892"/>
                                <a:chExt cx="5955" cy="2875"/>
                              </a:xfrm>
                            </wpg:grpSpPr>
                            <wpg:grpSp>
                              <wpg:cNvPr id="25" name="组合 15"/>
                              <wpg:cNvGrpSpPr/>
                              <wpg:grpSpPr>
                                <a:xfrm>
                                  <a:off x="3710" y="2892"/>
                                  <a:ext cx="5955" cy="2875"/>
                                  <a:chOff x="3710" y="2935"/>
                                  <a:chExt cx="5955" cy="2875"/>
                                </a:xfrm>
                              </wpg:grpSpPr>
                              <wpg:grpSp>
                                <wpg:cNvPr id="14" name="组合 16"/>
                                <wpg:cNvGrpSpPr/>
                                <wpg:grpSpPr>
                                  <a:xfrm>
                                    <a:off x="4210" y="3481"/>
                                    <a:ext cx="1542" cy="2329"/>
                                    <a:chOff x="4210" y="3481"/>
                                    <a:chExt cx="1542" cy="2329"/>
                                  </a:xfrm>
                                </wpg:grpSpPr>
                                <wps:wsp>
                                  <wps:cNvPr id="10" name="文本框 128"/>
                                  <wps:cNvSpPr txBox="1"/>
                                  <wps:spPr>
                                    <a:xfrm>
                                      <a:off x="4210" y="3481"/>
                                      <a:ext cx="1498" cy="369"/>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cs="宋体"/>
                                            <w:color w:val="000000"/>
                                            <w:sz w:val="22"/>
                                            <w:szCs w:val="36"/>
                                            <w:lang w:val="zh-CN"/>
                                          </w:rPr>
                                        </w:pPr>
                                        <w:r>
                                          <w:rPr>
                                            <w:rFonts w:hint="eastAsia" w:cs="宋体"/>
                                            <w:color w:val="000000"/>
                                            <w:sz w:val="22"/>
                                            <w:szCs w:val="36"/>
                                            <w:lang w:val="zh-CN"/>
                                          </w:rPr>
                                          <w:t>基本建设费用</w:t>
                                        </w:r>
                                      </w:p>
                                    </w:txbxContent>
                                  </wps:txbx>
                                  <wps:bodyPr lIns="55778" tIns="27889" rIns="55778" bIns="27889" upright="1"/>
                                </wps:wsp>
                                <wps:wsp>
                                  <wps:cNvPr id="11" name="文本框 129"/>
                                  <wps:cNvSpPr txBox="1"/>
                                  <wps:spPr>
                                    <a:xfrm>
                                      <a:off x="4210" y="4202"/>
                                      <a:ext cx="1498" cy="369"/>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管理费</w:t>
                                        </w:r>
                                      </w:p>
                                    </w:txbxContent>
                                  </wps:txbx>
                                  <wps:bodyPr lIns="55778" tIns="27889" rIns="55778" bIns="27889" upright="1"/>
                                </wps:wsp>
                                <wps:wsp>
                                  <wps:cNvPr id="12" name="文本框 130"/>
                                  <wps:cNvSpPr txBox="1"/>
                                  <wps:spPr>
                                    <a:xfrm>
                                      <a:off x="4220" y="4819"/>
                                      <a:ext cx="1498" cy="368"/>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法定规费</w:t>
                                        </w:r>
                                      </w:p>
                                    </w:txbxContent>
                                  </wps:txbx>
                                  <wps:bodyPr lIns="55778" tIns="27889" rIns="55778" bIns="27889" upright="1"/>
                                </wps:wsp>
                                <wps:wsp>
                                  <wps:cNvPr id="13" name="文本框 131"/>
                                  <wps:cNvSpPr txBox="1"/>
                                  <wps:spPr>
                                    <a:xfrm>
                                      <a:off x="4253" y="5374"/>
                                      <a:ext cx="1499" cy="436"/>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资金成本</w:t>
                                        </w:r>
                                      </w:p>
                                    </w:txbxContent>
                                  </wps:txbx>
                                  <wps:bodyPr lIns="55778" tIns="27889" rIns="55778" bIns="27889" upright="1"/>
                                </wps:wsp>
                              </wpg:grpSp>
                              <wpg:grpSp>
                                <wpg:cNvPr id="19" name="组合 21"/>
                                <wpg:cNvGrpSpPr/>
                                <wpg:grpSpPr>
                                  <a:xfrm>
                                    <a:off x="6255" y="2935"/>
                                    <a:ext cx="3410" cy="1655"/>
                                    <a:chOff x="6255" y="2935"/>
                                    <a:chExt cx="3410" cy="1655"/>
                                  </a:xfrm>
                                </wpg:grpSpPr>
                                <wps:wsp>
                                  <wps:cNvPr id="15" name="矩形 132"/>
                                  <wps:cNvSpPr/>
                                  <wps:spPr>
                                    <a:xfrm>
                                      <a:off x="6255" y="2935"/>
                                      <a:ext cx="3396" cy="358"/>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建设前期工程费及勘察设计费</w:t>
                                        </w:r>
                                      </w:p>
                                    </w:txbxContent>
                                  </wps:txbx>
                                  <wps:bodyPr lIns="55778" tIns="27889" rIns="55778" bIns="27889" anchor="ctr" upright="1"/>
                                </wps:wsp>
                                <wps:wsp>
                                  <wps:cNvPr id="16" name="矩形 133"/>
                                  <wps:cNvSpPr/>
                                  <wps:spPr>
                                    <a:xfrm>
                                      <a:off x="6269" y="3352"/>
                                      <a:ext cx="3395" cy="34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建设安装工程费及设备费</w:t>
                                        </w:r>
                                      </w:p>
                                    </w:txbxContent>
                                  </wps:txbx>
                                  <wps:bodyPr lIns="55778" tIns="27889" rIns="55778" bIns="27889" anchor="ctr" upright="1"/>
                                </wps:wsp>
                                <wps:wsp>
                                  <wps:cNvPr id="17" name="矩形 134"/>
                                  <wps:cNvSpPr/>
                                  <wps:spPr>
                                    <a:xfrm>
                                      <a:off x="6270" y="3791"/>
                                      <a:ext cx="3395" cy="37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ind w:left="-63" w:leftChars="-30" w:right="-63" w:rightChars="-30"/>
                                          <w:jc w:val="center"/>
                                          <w:rPr>
                                            <w:rFonts w:cs="宋体"/>
                                            <w:color w:val="000000"/>
                                            <w:sz w:val="20"/>
                                            <w:szCs w:val="32"/>
                                            <w:lang w:val="zh-CN"/>
                                          </w:rPr>
                                        </w:pPr>
                                        <w:r>
                                          <w:rPr>
                                            <w:rFonts w:hint="eastAsia" w:cs="宋体"/>
                                            <w:color w:val="000000"/>
                                            <w:spacing w:val="-4"/>
                                            <w:sz w:val="20"/>
                                            <w:szCs w:val="20"/>
                                            <w:lang w:val="zh-CN"/>
                                          </w:rPr>
                                          <w:t>基础设施建设费和公共配套设施建设</w:t>
                                        </w:r>
                                        <w:r>
                                          <w:rPr>
                                            <w:rFonts w:hint="eastAsia" w:cs="宋体"/>
                                            <w:color w:val="000000"/>
                                            <w:sz w:val="20"/>
                                            <w:szCs w:val="32"/>
                                            <w:lang w:val="zh-CN"/>
                                          </w:rPr>
                                          <w:t>费</w:t>
                                        </w:r>
                                      </w:p>
                                    </w:txbxContent>
                                  </wps:txbx>
                                  <wps:bodyPr lIns="55778" tIns="27889" rIns="55778" bIns="27889" anchor="ctr" upright="1"/>
                                </wps:wsp>
                                <wps:wsp>
                                  <wps:cNvPr id="18" name="矩形 135"/>
                                  <wps:cNvSpPr/>
                                  <wps:spPr>
                                    <a:xfrm>
                                      <a:off x="6270" y="4215"/>
                                      <a:ext cx="3364" cy="37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工程建设其他费用</w:t>
                                        </w:r>
                                      </w:p>
                                    </w:txbxContent>
                                  </wps:txbx>
                                  <wps:bodyPr lIns="55778" tIns="27889" rIns="55778" bIns="27889" anchor="ctr" upright="1"/>
                                </wps:wsp>
                              </wpg:grpSp>
                              <wps:wsp>
                                <wps:cNvPr id="20" name="自选图形 138"/>
                                <wps:cNvCnPr/>
                                <wps:spPr>
                                  <a:xfrm rot="10800000" flipH="1" flipV="1">
                                    <a:off x="6270" y="3099"/>
                                    <a:ext cx="1" cy="1245"/>
                                  </a:xfrm>
                                  <a:prstGeom prst="bentConnector3">
                                    <a:avLst>
                                      <a:gd name="adj1" fmla="val -36000000"/>
                                    </a:avLst>
                                  </a:prstGeom>
                                  <a:ln w="9525" cap="flat" cmpd="sng">
                                    <a:solidFill>
                                      <a:srgbClr val="000000"/>
                                    </a:solidFill>
                                    <a:prstDash val="solid"/>
                                    <a:miter/>
                                    <a:headEnd type="none" w="med" len="med"/>
                                    <a:tailEnd type="none" w="med" len="med"/>
                                  </a:ln>
                                </wps:spPr>
                                <wps:bodyPr/>
                              </wps:wsp>
                              <wpg:grpSp>
                                <wpg:cNvPr id="24" name="组合 27"/>
                                <wpg:cNvGrpSpPr/>
                                <wpg:grpSpPr>
                                  <a:xfrm>
                                    <a:off x="3710" y="3679"/>
                                    <a:ext cx="543" cy="1842"/>
                                    <a:chOff x="3710" y="3679"/>
                                    <a:chExt cx="543" cy="1842"/>
                                  </a:xfrm>
                                </wpg:grpSpPr>
                                <wps:wsp>
                                  <wps:cNvPr id="21" name="自选图形 137"/>
                                  <wps:cNvCnPr/>
                                  <wps:spPr>
                                    <a:xfrm rot="10800000" flipH="1" flipV="1">
                                      <a:off x="4210" y="3679"/>
                                      <a:ext cx="43" cy="1842"/>
                                    </a:xfrm>
                                    <a:prstGeom prst="bentConnector3">
                                      <a:avLst>
                                        <a:gd name="adj1" fmla="val -782606"/>
                                      </a:avLst>
                                    </a:prstGeom>
                                    <a:ln w="9525" cap="flat" cmpd="sng">
                                      <a:solidFill>
                                        <a:srgbClr val="000000"/>
                                      </a:solidFill>
                                      <a:prstDash val="solid"/>
                                      <a:miter/>
                                      <a:headEnd type="none" w="med" len="med"/>
                                      <a:tailEnd type="none" w="med" len="med"/>
                                    </a:ln>
                                  </wps:spPr>
                                  <wps:bodyPr/>
                                </wps:wsp>
                                <wps:wsp>
                                  <wps:cNvPr id="22" name="直线 139"/>
                                  <wps:cNvSpPr/>
                                  <wps:spPr>
                                    <a:xfrm>
                                      <a:off x="3710" y="4415"/>
                                      <a:ext cx="170" cy="0"/>
                                    </a:xfrm>
                                    <a:prstGeom prst="line">
                                      <a:avLst/>
                                    </a:prstGeom>
                                    <a:ln w="9525" cap="flat" cmpd="sng">
                                      <a:solidFill>
                                        <a:srgbClr val="000000"/>
                                      </a:solidFill>
                                      <a:prstDash val="solid"/>
                                      <a:headEnd type="none" w="med" len="med"/>
                                      <a:tailEnd type="none" w="med" len="med"/>
                                    </a:ln>
                                  </wps:spPr>
                                  <wps:bodyPr upright="1"/>
                                </wps:wsp>
                                <wps:wsp>
                                  <wps:cNvPr id="23" name="直线 142"/>
                                  <wps:cNvSpPr/>
                                  <wps:spPr>
                                    <a:xfrm>
                                      <a:off x="3880" y="4406"/>
                                      <a:ext cx="340" cy="0"/>
                                    </a:xfrm>
                                    <a:prstGeom prst="line">
                                      <a:avLst/>
                                    </a:prstGeom>
                                    <a:ln w="9525" cap="flat" cmpd="sng">
                                      <a:solidFill>
                                        <a:srgbClr val="000000"/>
                                      </a:solidFill>
                                      <a:prstDash val="solid"/>
                                      <a:headEnd type="none" w="med" len="med"/>
                                      <a:tailEnd type="none" w="med" len="med"/>
                                    </a:ln>
                                  </wps:spPr>
                                  <wps:bodyPr upright="1"/>
                                </wps:wsp>
                              </wpg:grpSp>
                            </wpg:grpSp>
                            <wps:wsp>
                              <wps:cNvPr id="26" name="直线 144"/>
                              <wps:cNvSpPr/>
                              <wps:spPr>
                                <a:xfrm>
                                  <a:off x="5922" y="3485"/>
                                  <a:ext cx="340" cy="1"/>
                                </a:xfrm>
                                <a:prstGeom prst="line">
                                  <a:avLst/>
                                </a:prstGeom>
                                <a:ln w="9525" cap="flat" cmpd="sng">
                                  <a:solidFill>
                                    <a:srgbClr val="000000"/>
                                  </a:solidFill>
                                  <a:prstDash val="solid"/>
                                  <a:headEnd type="none" w="med" len="med"/>
                                  <a:tailEnd type="none" w="med" len="med"/>
                                </a:ln>
                              </wps:spPr>
                              <wps:bodyPr upright="1"/>
                            </wps:wsp>
                            <wps:wsp>
                              <wps:cNvPr id="27" name="直线 145"/>
                              <wps:cNvSpPr/>
                              <wps:spPr>
                                <a:xfrm>
                                  <a:off x="5922" y="3930"/>
                                  <a:ext cx="340" cy="0"/>
                                </a:xfrm>
                                <a:prstGeom prst="line">
                                  <a:avLst/>
                                </a:prstGeom>
                                <a:ln w="9525" cap="flat" cmpd="sng">
                                  <a:solidFill>
                                    <a:srgbClr val="000000"/>
                                  </a:solidFill>
                                  <a:prstDash val="solid"/>
                                  <a:headEnd type="none" w="med" len="med"/>
                                  <a:tailEnd type="none" w="med" len="med"/>
                                </a:ln>
                              </wps:spPr>
                              <wps:bodyPr upright="1"/>
                            </wps:wsp>
                          </wpg:grpSp>
                          <wpg:grpSp>
                            <wpg:cNvPr id="35" name="组合 33"/>
                            <wpg:cNvGrpSpPr/>
                            <wpg:grpSpPr>
                              <a:xfrm>
                                <a:off x="1728" y="4202"/>
                                <a:ext cx="3486" cy="5330"/>
                                <a:chOff x="1728" y="4202"/>
                                <a:chExt cx="3486" cy="5330"/>
                              </a:xfrm>
                            </wpg:grpSpPr>
                            <wps:wsp>
                              <wps:cNvPr id="29" name="文本框 124"/>
                              <wps:cNvSpPr txBox="1"/>
                              <wps:spPr>
                                <a:xfrm>
                                  <a:off x="1728" y="5841"/>
                                  <a:ext cx="460" cy="124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收购价格</w:t>
                                    </w:r>
                                  </w:p>
                                </w:txbxContent>
                              </wps:txbx>
                              <wps:bodyPr vert="eaVert" lIns="55778" tIns="27889" rIns="55778" bIns="27889" upright="1"/>
                            </wps:wsp>
                            <wps:wsp>
                              <wps:cNvPr id="30" name="文本框 126"/>
                              <wps:cNvSpPr txBox="1"/>
                              <wps:spPr>
                                <a:xfrm>
                                  <a:off x="2701" y="6055"/>
                                  <a:ext cx="1042" cy="39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rPr>
                                        <w:rFonts w:cs="宋体"/>
                                        <w:color w:val="000000"/>
                                        <w:sz w:val="22"/>
                                        <w:szCs w:val="36"/>
                                        <w:lang w:val="zh-CN"/>
                                      </w:rPr>
                                    </w:pPr>
                                    <w:r>
                                      <w:rPr>
                                        <w:rFonts w:hint="eastAsia" w:cs="宋体"/>
                                        <w:color w:val="000000"/>
                                        <w:spacing w:val="-6"/>
                                        <w:sz w:val="22"/>
                                        <w:lang w:val="zh-CN"/>
                                      </w:rPr>
                                      <w:t>合理利</w:t>
                                    </w:r>
                                    <w:r>
                                      <w:rPr>
                                        <w:rFonts w:hint="eastAsia" w:cs="宋体"/>
                                        <w:color w:val="000000"/>
                                        <w:sz w:val="22"/>
                                        <w:szCs w:val="36"/>
                                        <w:lang w:val="zh-CN"/>
                                      </w:rPr>
                                      <w:t>润</w:t>
                                    </w:r>
                                  </w:p>
                                </w:txbxContent>
                              </wps:txbx>
                              <wps:bodyPr lIns="55778" tIns="27889" rIns="55778" bIns="27889" upright="1"/>
                            </wps:wsp>
                            <wps:wsp>
                              <wps:cNvPr id="31" name="文本框 127"/>
                              <wps:cNvSpPr txBox="1"/>
                              <wps:spPr>
                                <a:xfrm>
                                  <a:off x="2711" y="7085"/>
                                  <a:ext cx="2084" cy="368"/>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rPr>
                                    </w:pPr>
                                    <w:r>
                                      <w:rPr>
                                        <w:rFonts w:hint="eastAsia" w:cs="宋体"/>
                                        <w:color w:val="000000"/>
                                        <w:sz w:val="22"/>
                                        <w:szCs w:val="36"/>
                                        <w:lang w:val="zh-CN"/>
                                      </w:rPr>
                                      <w:t>户内装饰装修造价</w:t>
                                    </w:r>
                                  </w:p>
                                </w:txbxContent>
                              </wps:txbx>
                              <wps:bodyPr lIns="55778" tIns="27889" rIns="55778" bIns="27889" upright="1"/>
                            </wps:wsp>
                            <wps:wsp>
                              <wps:cNvPr id="32" name="文本框 147"/>
                              <wps:cNvSpPr txBox="1"/>
                              <wps:spPr>
                                <a:xfrm>
                                  <a:off x="2711" y="8028"/>
                                  <a:ext cx="2503" cy="376"/>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ind w:left="-63" w:leftChars="-30" w:right="-63" w:rightChars="-30"/>
                                      <w:jc w:val="center"/>
                                      <w:rPr>
                                        <w:rFonts w:cs="宋体"/>
                                        <w:color w:val="000000"/>
                                        <w:sz w:val="22"/>
                                        <w:szCs w:val="36"/>
                                        <w:lang w:val="zh-CN"/>
                                      </w:rPr>
                                    </w:pPr>
                                    <w:r>
                                      <w:rPr>
                                        <w:rFonts w:hint="eastAsia" w:cs="宋体"/>
                                        <w:color w:val="000000"/>
                                        <w:sz w:val="22"/>
                                        <w:szCs w:val="36"/>
                                        <w:lang w:val="zh-CN"/>
                                      </w:rPr>
                                      <w:t>收购双方约定的其他项目</w:t>
                                    </w:r>
                                  </w:p>
                                </w:txbxContent>
                              </wps:txbx>
                              <wps:bodyPr lIns="55778" tIns="27889" rIns="55778" bIns="27889" upright="1"/>
                            </wps:wsp>
                            <wps:wsp>
                              <wps:cNvPr id="33" name="文本框 149"/>
                              <wps:cNvSpPr txBox="1"/>
                              <wps:spPr>
                                <a:xfrm>
                                  <a:off x="2711" y="9157"/>
                                  <a:ext cx="1668" cy="37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法定税金</w:t>
                                    </w:r>
                                  </w:p>
                                </w:txbxContent>
                              </wps:txbx>
                              <wps:bodyPr lIns="55778" tIns="27889" rIns="55778" bIns="27889" upright="1"/>
                            </wps:wsp>
                            <wps:wsp>
                              <wps:cNvPr id="34" name="文本框 125"/>
                              <wps:cNvSpPr txBox="1"/>
                              <wps:spPr>
                                <a:xfrm>
                                  <a:off x="2711" y="4202"/>
                                  <a:ext cx="1041" cy="369"/>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ind w:left="-63" w:leftChars="-30" w:right="-63" w:rightChars="-30"/>
                                      <w:jc w:val="center"/>
                                      <w:rPr>
                                        <w:rFonts w:cs="宋体"/>
                                        <w:color w:val="000000"/>
                                        <w:spacing w:val="-2"/>
                                        <w:sz w:val="22"/>
                                        <w:lang w:val="zh-CN"/>
                                      </w:rPr>
                                    </w:pPr>
                                    <w:r>
                                      <w:rPr>
                                        <w:rFonts w:hint="eastAsia" w:cs="宋体"/>
                                        <w:color w:val="000000"/>
                                        <w:spacing w:val="-2"/>
                                        <w:sz w:val="22"/>
                                        <w:lang w:val="zh-CN"/>
                                      </w:rPr>
                                      <w:t>建设成本</w:t>
                                    </w:r>
                                  </w:p>
                                </w:txbxContent>
                              </wps:txbx>
                              <wps:bodyPr lIns="55778" tIns="27889" rIns="55778" bIns="27889" upright="1"/>
                            </wps:wsp>
                          </wpg:grpSp>
                        </wpg:grpSp>
                      </wpg:grpSp>
                    </wpg:wgp>
                  </a:graphicData>
                </a:graphic>
              </wp:anchor>
            </w:drawing>
          </mc:Choice>
          <mc:Fallback>
            <w:pict>
              <v:group id="组合 2" o:spid="_x0000_s1026" o:spt="203" style="position:absolute;left:0pt;margin-left:7pt;margin-top:7.85pt;height:332pt;width:396.85pt;z-index:251658240;mso-width-relative:page;mso-height-relative:page;" coordorigin="1728,2892" coordsize="7937,6640" o:gfxdata="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">
                <o:lock v:ext="edit" aspectratio="f"/>
                <v:line id="直线 143" o:spid="_x0000_s1026" o:spt="20" style="position:absolute;left:3880;top:4940;height:1;width:34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40" o:spid="_x0000_s1026" o:spt="20" style="position:absolute;left:5709;top:3624;height:1;width:213;"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5" o:spid="_x0000_s1026" o:spt="203" style="position:absolute;left:1728;top:2892;height:6640;width:7937;" coordorigin="1728,2892" coordsize="7937,664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6" o:spid="_x0000_s1026" o:spt="203" style="position:absolute;left:2194;top:4374;height:5043;width:517;" coordorigin="2194,4374" coordsize="517,5043"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自选图形 136" o:spid="_x0000_s1026" o:spt="34" type="#_x0000_t34" style="position:absolute;left:2710;top:4374;flip:x y;height:2883;width:1;rotation:11796480f;" filled="f" stroked="t" coordsize="21600,21600" o:gfxdata="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iGYvQAA&#10;ANo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line id="直线 141" o:spid="_x0000_s1026" o:spt="20" style="position:absolute;left:2349;top:6203;height:1;width:34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6" o:spid="_x0000_s1026" o:spt="20" style="position:absolute;left:2194;top:6449;height:1;width:17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8" o:spid="_x0000_s1026" o:spt="20" style="position:absolute;left:2349;top:8232;height:1;width:34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0" o:spid="_x0000_s1026" o:spt="20" style="position:absolute;left:2349;top:9416;height:1;width:34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自选图形 151" o:spid="_x0000_s1026" o:spt="32" type="#_x0000_t32" style="position:absolute;left:2349;top:7257;height:2152;width:6;"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v:group id="组合 13" o:spid="_x0000_s1026" o:spt="203" style="position:absolute;left:1728;top:2892;height:6640;width:7937;" coordorigin="1728,2892" coordsize="7937,664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14" o:spid="_x0000_s1026" o:spt="203" style="position:absolute;left:3710;top:2892;height:2875;width:5955;" coordorigin="3710,2892" coordsize="5955,2875"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15" o:spid="_x0000_s1026" o:spt="203" style="position:absolute;left:3710;top:2892;height:2875;width:5955;" coordorigin="3710,2935" coordsize="5955,287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组合 16" o:spid="_x0000_s1026" o:spt="203" style="position:absolute;left:4210;top:3481;height:2329;width:1542;" coordorigin="4210,3481" coordsize="1542,2329"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文本框 128" o:spid="_x0000_s1026" o:spt="202" type="#_x0000_t202" style="position:absolute;left:4210;top:3481;height:369;width:1498;" filled="f" stroked="t" coordsize="21600,21600" o:gfxdata="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ekGa/&#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39196850393701pt,2.1959842519685pt,4.39196850393701pt,2.1959842519685pt">
                              <w:txbxContent>
                                <w:p>
                                  <w:pPr>
                                    <w:autoSpaceDE w:val="0"/>
                                    <w:autoSpaceDN w:val="0"/>
                                    <w:adjustRightInd w:val="0"/>
                                    <w:rPr>
                                      <w:rFonts w:cs="宋体"/>
                                      <w:color w:val="000000"/>
                                      <w:sz w:val="22"/>
                                      <w:szCs w:val="36"/>
                                      <w:lang w:val="zh-CN"/>
                                    </w:rPr>
                                  </w:pPr>
                                  <w:r>
                                    <w:rPr>
                                      <w:rFonts w:hint="eastAsia" w:cs="宋体"/>
                                      <w:color w:val="000000"/>
                                      <w:sz w:val="22"/>
                                      <w:szCs w:val="36"/>
                                      <w:lang w:val="zh-CN"/>
                                    </w:rPr>
                                    <w:t>基本建设费用</w:t>
                                  </w:r>
                                </w:p>
                              </w:txbxContent>
                            </v:textbox>
                          </v:shape>
                          <v:shape id="文本框 129" o:spid="_x0000_s1026" o:spt="202" type="#_x0000_t202" style="position:absolute;left:4210;top:4202;height:369;width:1498;" filled="f" stroked="t" coordsize="21600,21600" o:gfxdata="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kjX9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管理费</w:t>
                                  </w:r>
                                </w:p>
                              </w:txbxContent>
                            </v:textbox>
                          </v:shape>
                          <v:shape id="文本框 130" o:spid="_x0000_s1026" o:spt="202" type="#_x0000_t202" style="position:absolute;left:4220;top:4819;height:368;width:1498;" filled="f" stroked="t" coordsize="21600,21600" o:gfxdata="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Aq4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法定规费</w:t>
                                  </w:r>
                                </w:p>
                              </w:txbxContent>
                            </v:textbox>
                          </v:shape>
                          <v:shape id="文本框 131" o:spid="_x0000_s1026" o:spt="202" type="#_x0000_t202" style="position:absolute;left:4253;top:5374;height:436;width:1499;" filled="f" stroked="t" coordsize="21600,21600" o:gfxdata="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DA4R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资金成本</w:t>
                                  </w:r>
                                </w:p>
                              </w:txbxContent>
                            </v:textbox>
                          </v:shape>
                        </v:group>
                        <v:group id="组合 21" o:spid="_x0000_s1026" o:spt="203" style="position:absolute;left:6255;top:2935;height:1655;width:3410;" coordorigin="6255,2935" coordsize="3410,165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32" o:spid="_x0000_s1026" o:spt="1" style="position:absolute;left:6255;top:2935;height:358;width:3396;v-text-anchor:middle;" filled="f" stroked="t" coordsize="21600,21600" o:gfxdata="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RBl2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建设前期工程费及勘察设计费</w:t>
                                  </w:r>
                                </w:p>
                              </w:txbxContent>
                            </v:textbox>
                          </v:rect>
                          <v:rect id="矩形 133" o:spid="_x0000_s1026" o:spt="1" style="position:absolute;left:6269;top:3352;height:345;width:3395;v-text-anchor:middle;" filled="f" stroked="t" coordsize="21600,21600" o:gfxdata="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4OYK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建设安装工程费及设备费</w:t>
                                  </w:r>
                                </w:p>
                              </w:txbxContent>
                            </v:textbox>
                          </v:rect>
                          <v:rect id="矩形 134" o:spid="_x0000_s1026" o:spt="1" style="position:absolute;left:6270;top:3791;height:374;width:3395;v-text-anchor:middle;" filled="f" stroked="t" coordsize="21600,21600" o:gfxdata="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Pb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39196850393701pt,2.1959842519685pt,4.39196850393701pt,2.1959842519685pt">
                              <w:txbxContent>
                                <w:p>
                                  <w:pPr>
                                    <w:autoSpaceDE w:val="0"/>
                                    <w:autoSpaceDN w:val="0"/>
                                    <w:adjustRightInd w:val="0"/>
                                    <w:ind w:left="-63" w:leftChars="-30" w:right="-63" w:rightChars="-30"/>
                                    <w:jc w:val="center"/>
                                    <w:rPr>
                                      <w:rFonts w:cs="宋体"/>
                                      <w:color w:val="000000"/>
                                      <w:sz w:val="20"/>
                                      <w:szCs w:val="32"/>
                                      <w:lang w:val="zh-CN"/>
                                    </w:rPr>
                                  </w:pPr>
                                  <w:r>
                                    <w:rPr>
                                      <w:rFonts w:hint="eastAsia" w:cs="宋体"/>
                                      <w:color w:val="000000"/>
                                      <w:spacing w:val="-4"/>
                                      <w:sz w:val="20"/>
                                      <w:szCs w:val="20"/>
                                      <w:lang w:val="zh-CN"/>
                                    </w:rPr>
                                    <w:t>基础设施建设费和公共配套设施建设</w:t>
                                  </w:r>
                                  <w:r>
                                    <w:rPr>
                                      <w:rFonts w:hint="eastAsia" w:cs="宋体"/>
                                      <w:color w:val="000000"/>
                                      <w:sz w:val="20"/>
                                      <w:szCs w:val="32"/>
                                      <w:lang w:val="zh-CN"/>
                                    </w:rPr>
                                    <w:t>费</w:t>
                                  </w:r>
                                </w:p>
                              </w:txbxContent>
                            </v:textbox>
                          </v:rect>
                          <v:rect id="矩形 135" o:spid="_x0000_s1026" o:spt="1" style="position:absolute;left:6270;top:4215;height:375;width:3364;v-text-anchor:middle;" filled="f" stroked="t" coordsize="21600,21600" o:gfxdata="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KnD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0"/>
                                      <w:szCs w:val="32"/>
                                      <w:lang w:val="zh-CN"/>
                                    </w:rPr>
                                  </w:pPr>
                                  <w:r>
                                    <w:rPr>
                                      <w:rFonts w:hint="eastAsia" w:cs="宋体"/>
                                      <w:color w:val="000000"/>
                                      <w:sz w:val="20"/>
                                      <w:szCs w:val="32"/>
                                      <w:lang w:val="zh-CN"/>
                                    </w:rPr>
                                    <w:t>工程建设其他费用</w:t>
                                  </w:r>
                                </w:p>
                              </w:txbxContent>
                            </v:textbox>
                          </v:rect>
                        </v:group>
                        <v:shape id="自选图形 138" o:spid="_x0000_s1026" o:spt="34" type="#_x0000_t34" style="position:absolute;left:6270;top:3099;flip:x y;height:1245;width:1;rotation:11796480f;" filled="f" stroked="t" coordsize="21600,21600" o:gfxdata="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zu7ugAAANs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group id="组合 27" o:spid="_x0000_s1026" o:spt="203" style="position:absolute;left:3710;top:3679;height:1842;width:543;" coordorigin="3710,3679" coordsize="543,184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自选图形 137" o:spid="_x0000_s1026" o:spt="34" type="#_x0000_t34" style="position:absolute;left:4210;top:3679;flip:x y;height:1842;width:43;rotation:11796480f;" filled="f" stroked="t" coordsize="21600,21600" o:gfxdata="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NZQrsAAADb&#10;AAAADwAAAAAAAAABACAAAAAiAAAAZHJzL2Rvd25yZXYueG1sUEsBAhQAFAAAAAgAh07iQDMvBZ47&#10;AAAAOQAAABAAAAAAAAAAAQAgAAAACgEAAGRycy9zaGFwZXhtbC54bWxQSwUGAAAAAAYABgBbAQAA&#10;tAMAAAAA&#10;" adj="-169043">
                            <v:fill on="f" focussize="0,0"/>
                            <v:stroke color="#000000" joinstyle="miter"/>
                            <v:imagedata o:title=""/>
                            <o:lock v:ext="edit" aspectratio="f"/>
                          </v:shape>
                          <v:line id="直线 139" o:spid="_x0000_s1026" o:spt="20" style="position:absolute;left:3710;top:4415;height:0;width:17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42" o:spid="_x0000_s1026" o:spt="20" style="position:absolute;left:3880;top:4406;height:0;width:34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line id="直线 144" o:spid="_x0000_s1026" o:spt="20" style="position:absolute;left:5922;top:3485;height:1;width:34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5" o:spid="_x0000_s1026" o:spt="20" style="position:absolute;left:5922;top:3930;height:0;width:34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33" o:spid="_x0000_s1026" o:spt="203" style="position:absolute;left:1728;top:4202;height:5330;width:3486;" coordorigin="1728,4202" coordsize="3486,533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文本框 124" o:spid="_x0000_s1026" o:spt="202" type="#_x0000_t202" style="position:absolute;left:1728;top:5841;height:1244;width:460;" filled="f" stroked="t" coordsize="21600,21600" o:gfxdata="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4on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4.39196850393701pt,2.1959842519685pt,4.39196850393701pt,2.1959842519685pt" style="layout-flow:vertical-ideographic;">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收购价格</w:t>
                              </w:r>
                            </w:p>
                          </w:txbxContent>
                        </v:textbox>
                      </v:shape>
                      <v:shape id="文本框 126" o:spid="_x0000_s1026" o:spt="202" type="#_x0000_t202" style="position:absolute;left:2701;top:6055;height:394;width:1042;" filled="f" stroked="t" coordsize="21600,21600" o:gfxdata="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rzA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39196850393701pt,2.1959842519685pt,4.39196850393701pt,2.1959842519685pt">
                          <w:txbxContent>
                            <w:p>
                              <w:pPr>
                                <w:autoSpaceDE w:val="0"/>
                                <w:autoSpaceDN w:val="0"/>
                                <w:adjustRightInd w:val="0"/>
                                <w:rPr>
                                  <w:rFonts w:cs="宋体"/>
                                  <w:color w:val="000000"/>
                                  <w:sz w:val="22"/>
                                  <w:szCs w:val="36"/>
                                  <w:lang w:val="zh-CN"/>
                                </w:rPr>
                              </w:pPr>
                              <w:r>
                                <w:rPr>
                                  <w:rFonts w:hint="eastAsia" w:cs="宋体"/>
                                  <w:color w:val="000000"/>
                                  <w:spacing w:val="-6"/>
                                  <w:sz w:val="22"/>
                                  <w:lang w:val="zh-CN"/>
                                </w:rPr>
                                <w:t>合理利</w:t>
                              </w:r>
                              <w:r>
                                <w:rPr>
                                  <w:rFonts w:hint="eastAsia" w:cs="宋体"/>
                                  <w:color w:val="000000"/>
                                  <w:sz w:val="22"/>
                                  <w:szCs w:val="36"/>
                                  <w:lang w:val="zh-CN"/>
                                </w:rPr>
                                <w:t>润</w:t>
                              </w:r>
                            </w:p>
                          </w:txbxContent>
                        </v:textbox>
                      </v:shape>
                      <v:shape id="文本框 127" o:spid="_x0000_s1026" o:spt="202" type="#_x0000_t202" style="position:absolute;left:2711;top:7085;height:368;width:2084;" filled="f" stroked="t" coordsize="21600,21600" o:gfxdata="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naZ2/&#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2"/>
                                  <w:szCs w:val="36"/>
                                </w:rPr>
                              </w:pPr>
                              <w:r>
                                <w:rPr>
                                  <w:rFonts w:hint="eastAsia" w:cs="宋体"/>
                                  <w:color w:val="000000"/>
                                  <w:sz w:val="22"/>
                                  <w:szCs w:val="36"/>
                                  <w:lang w:val="zh-CN"/>
                                </w:rPr>
                                <w:t>户内装饰装修造价</w:t>
                              </w:r>
                            </w:p>
                          </w:txbxContent>
                        </v:textbox>
                      </v:shape>
                      <v:shape id="文本框 147" o:spid="_x0000_s1026" o:spt="202" type="#_x0000_t202" style="position:absolute;left:2711;top:8028;height:376;width:2503;" filled="f" stroked="t" coordsize="21600,21600" o:gfxdata="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X36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39196850393701pt,2.1959842519685pt,4.39196850393701pt,2.1959842519685pt">
                          <w:txbxContent>
                            <w:p>
                              <w:pPr>
                                <w:autoSpaceDE w:val="0"/>
                                <w:autoSpaceDN w:val="0"/>
                                <w:adjustRightInd w:val="0"/>
                                <w:ind w:left="-63" w:leftChars="-30" w:right="-63" w:rightChars="-30"/>
                                <w:jc w:val="center"/>
                                <w:rPr>
                                  <w:rFonts w:cs="宋体"/>
                                  <w:color w:val="000000"/>
                                  <w:sz w:val="22"/>
                                  <w:szCs w:val="36"/>
                                  <w:lang w:val="zh-CN"/>
                                </w:rPr>
                              </w:pPr>
                              <w:r>
                                <w:rPr>
                                  <w:rFonts w:hint="eastAsia" w:cs="宋体"/>
                                  <w:color w:val="000000"/>
                                  <w:sz w:val="22"/>
                                  <w:szCs w:val="36"/>
                                  <w:lang w:val="zh-CN"/>
                                </w:rPr>
                                <w:t>收购双方约定的其他项目</w:t>
                              </w:r>
                            </w:p>
                          </w:txbxContent>
                        </v:textbox>
                      </v:shape>
                      <v:shape id="文本框 149" o:spid="_x0000_s1026" o:spt="202" type="#_x0000_t202" style="position:absolute;left:2711;top:9157;height:375;width:1668;" filled="f" stroked="t" coordsize="21600,21600" o:gfxdata="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5UnG/&#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39196850393701pt,2.1959842519685pt,4.39196850393701pt,2.1959842519685pt">
                          <w:txbxContent>
                            <w:p>
                              <w:pPr>
                                <w:autoSpaceDE w:val="0"/>
                                <w:autoSpaceDN w:val="0"/>
                                <w:adjustRightInd w:val="0"/>
                                <w:jc w:val="center"/>
                                <w:rPr>
                                  <w:rFonts w:cs="宋体"/>
                                  <w:color w:val="000000"/>
                                  <w:sz w:val="22"/>
                                  <w:szCs w:val="36"/>
                                  <w:lang w:val="zh-CN"/>
                                </w:rPr>
                              </w:pPr>
                              <w:r>
                                <w:rPr>
                                  <w:rFonts w:hint="eastAsia" w:cs="宋体"/>
                                  <w:color w:val="000000"/>
                                  <w:sz w:val="22"/>
                                  <w:szCs w:val="36"/>
                                  <w:lang w:val="zh-CN"/>
                                </w:rPr>
                                <w:t>法定税金</w:t>
                              </w:r>
                            </w:p>
                          </w:txbxContent>
                        </v:textbox>
                      </v:shape>
                      <v:shape id="文本框 125" o:spid="_x0000_s1026" o:spt="202" type="#_x0000_t202" style="position:absolute;left:2711;top:4202;height:369;width:1041;" filled="f" stroked="t" coordsize="21600,21600" o:gfxdata="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QygW/&#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39196850393701pt,2.1959842519685pt,4.39196850393701pt,2.1959842519685pt">
                          <w:txbxContent>
                            <w:p>
                              <w:pPr>
                                <w:autoSpaceDE w:val="0"/>
                                <w:autoSpaceDN w:val="0"/>
                                <w:adjustRightInd w:val="0"/>
                                <w:ind w:left="-63" w:leftChars="-30" w:right="-63" w:rightChars="-30"/>
                                <w:jc w:val="center"/>
                                <w:rPr>
                                  <w:rFonts w:cs="宋体"/>
                                  <w:color w:val="000000"/>
                                  <w:spacing w:val="-2"/>
                                  <w:sz w:val="22"/>
                                  <w:lang w:val="zh-CN"/>
                                </w:rPr>
                              </w:pPr>
                              <w:r>
                                <w:rPr>
                                  <w:rFonts w:hint="eastAsia" w:cs="宋体"/>
                                  <w:color w:val="000000"/>
                                  <w:spacing w:val="-2"/>
                                  <w:sz w:val="22"/>
                                  <w:lang w:val="zh-CN"/>
                                </w:rPr>
                                <w:t>建设成本</w:t>
                              </w:r>
                            </w:p>
                          </w:txbxContent>
                        </v:textbox>
                      </v:shape>
                    </v:group>
                  </v:group>
                </v:group>
              </v:group>
            </w:pict>
          </mc:Fallback>
        </mc:AlternateContent>
      </w:r>
    </w:p>
    <w:p>
      <w:pPr>
        <w:autoSpaceDN w:val="0"/>
        <w:spacing w:line="260" w:lineRule="exact"/>
        <w:rPr>
          <w:rFonts w:ascii="宋体" w:hAnsi="宋体"/>
          <w:b/>
          <w:szCs w:val="21"/>
        </w:rPr>
      </w:pPr>
    </w:p>
    <w:p>
      <w:pPr>
        <w:autoSpaceDN w:val="0"/>
        <w:spacing w:line="260" w:lineRule="exact"/>
        <w:rPr>
          <w:rFonts w:ascii="宋体" w:hAnsi="宋体"/>
          <w:b/>
          <w:szCs w:val="21"/>
        </w:rPr>
      </w:pPr>
    </w:p>
    <w:p>
      <w:pPr>
        <w:autoSpaceDN w:val="0"/>
        <w:spacing w:line="260" w:lineRule="exact"/>
        <w:rPr>
          <w:rFonts w:ascii="宋体" w:hAnsi="宋体"/>
          <w:b/>
          <w:szCs w:val="21"/>
        </w:rPr>
      </w:pPr>
    </w:p>
    <w:p>
      <w:pPr>
        <w:autoSpaceDN w:val="0"/>
        <w:spacing w:line="260" w:lineRule="exact"/>
        <w:rPr>
          <w:rFonts w:ascii="宋体" w:hAnsi="宋体"/>
          <w:b/>
          <w:szCs w:val="21"/>
        </w:rPr>
      </w:pPr>
    </w:p>
    <w:p>
      <w:pPr>
        <w:autoSpaceDN w:val="0"/>
        <w:spacing w:line="260" w:lineRule="exact"/>
        <w:rPr>
          <w:rFonts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autoSpaceDN w:val="0"/>
        <w:spacing w:line="260" w:lineRule="exact"/>
        <w:rPr>
          <w:rFonts w:hint="eastAsia" w:ascii="宋体" w:hAnsi="宋体"/>
          <w:b/>
          <w:szCs w:val="21"/>
        </w:rPr>
      </w:pPr>
    </w:p>
    <w:p>
      <w:pPr>
        <w:snapToGrid w:val="0"/>
        <w:spacing w:line="0" w:lineRule="atLeast"/>
        <w:jc w:val="center"/>
        <w:rPr>
          <w:rFonts w:hint="eastAsia" w:ascii="宋体" w:hAnsi="宋体"/>
          <w:sz w:val="36"/>
          <w:szCs w:val="36"/>
        </w:rPr>
      </w:pPr>
      <w:r>
        <w:rPr>
          <w:rFonts w:hint="eastAsia" w:ascii="宋体" w:hAnsi="宋体"/>
          <w:sz w:val="36"/>
          <w:szCs w:val="36"/>
        </w:rPr>
        <w:t>第一部分  建设成本计算方式</w:t>
      </w:r>
    </w:p>
    <w:p>
      <w:pPr>
        <w:autoSpaceDN w:val="0"/>
        <w:spacing w:before="156" w:beforeLines="50" w:line="400" w:lineRule="atLeast"/>
        <w:ind w:firstLine="480" w:firstLineChars="200"/>
        <w:rPr>
          <w:rFonts w:ascii="宋体" w:hAnsi="宋体"/>
          <w:sz w:val="24"/>
          <w:szCs w:val="24"/>
        </w:rPr>
      </w:pPr>
      <w:r>
        <w:rPr>
          <w:rFonts w:hint="eastAsia" w:ascii="宋体" w:hAnsi="宋体"/>
          <w:sz w:val="24"/>
          <w:szCs w:val="24"/>
        </w:rPr>
        <w:t>建设成本＝基本建设费＋管理费＋法定规费＋资金成本</w:t>
      </w:r>
    </w:p>
    <w:p>
      <w:pPr>
        <w:autoSpaceDN w:val="0"/>
        <w:spacing w:after="156" w:afterLines="50" w:line="0" w:lineRule="atLeast"/>
        <w:jc w:val="center"/>
        <w:rPr>
          <w:rFonts w:hint="eastAsia" w:ascii="宋体" w:hAnsi="宋体"/>
          <w:sz w:val="36"/>
          <w:szCs w:val="36"/>
        </w:rPr>
      </w:pPr>
      <w:r>
        <w:rPr>
          <w:rFonts w:hint="eastAsia" w:ascii="宋体" w:hAnsi="宋体"/>
          <w:sz w:val="36"/>
          <w:szCs w:val="36"/>
        </w:rPr>
        <w:t>Ⅰ  基本建设费</w:t>
      </w:r>
    </w:p>
    <w:p>
      <w:pPr>
        <w:spacing w:after="156" w:afterLines="50" w:line="396" w:lineRule="atLeast"/>
        <w:ind w:firstLine="480" w:firstLineChars="200"/>
        <w:rPr>
          <w:rFonts w:ascii="宋体" w:hAnsi="宋体"/>
          <w:color w:val="000000"/>
          <w:sz w:val="24"/>
          <w:szCs w:val="24"/>
        </w:rPr>
      </w:pPr>
      <w:r>
        <w:rPr>
          <w:rFonts w:hint="eastAsia" w:ascii="宋体" w:hAnsi="宋体" w:cs="宋体"/>
          <w:kern w:val="0"/>
          <w:sz w:val="24"/>
          <w:szCs w:val="24"/>
        </w:rPr>
        <w:t>基本建设费</w:t>
      </w:r>
      <w:r>
        <w:rPr>
          <w:rFonts w:hint="eastAsia" w:ascii="宋体" w:hAnsi="宋体" w:cs="宋体"/>
          <w:color w:val="000000"/>
          <w:kern w:val="0"/>
          <w:sz w:val="24"/>
          <w:szCs w:val="24"/>
        </w:rPr>
        <w:t>＝</w:t>
      </w:r>
      <w:r>
        <w:rPr>
          <w:rFonts w:hint="eastAsia" w:ascii="宋体" w:hAnsi="宋体" w:cs="宋体"/>
          <w:kern w:val="0"/>
          <w:sz w:val="24"/>
          <w:szCs w:val="24"/>
        </w:rPr>
        <w:t>建设前期工程及勘察设计费</w:t>
      </w:r>
      <w:r>
        <w:rPr>
          <w:rFonts w:hint="eastAsia" w:ascii="宋体" w:hAnsi="宋体" w:cs="宋体"/>
          <w:color w:val="000000"/>
          <w:kern w:val="0"/>
          <w:sz w:val="24"/>
          <w:szCs w:val="24"/>
        </w:rPr>
        <w:t>＋</w:t>
      </w:r>
      <w:r>
        <w:rPr>
          <w:rFonts w:hint="eastAsia" w:ascii="宋体" w:hAnsi="宋体" w:cs="宋体"/>
          <w:kern w:val="0"/>
          <w:sz w:val="24"/>
          <w:szCs w:val="24"/>
        </w:rPr>
        <w:t>（建筑安装工程及设备费＋基础设施建</w:t>
      </w:r>
      <w:r>
        <w:rPr>
          <w:rFonts w:hint="eastAsia" w:ascii="宋体" w:hAnsi="宋体" w:cs="宋体"/>
          <w:kern w:val="24"/>
          <w:sz w:val="24"/>
          <w:szCs w:val="24"/>
        </w:rPr>
        <w:t>设费与公共配套建设费）</w:t>
      </w:r>
      <w:r>
        <w:rPr>
          <w:rFonts w:hint="eastAsia" w:ascii="宋体" w:hAnsi="宋体" w:cs="宋体"/>
          <w:color w:val="000000"/>
          <w:kern w:val="24"/>
          <w:sz w:val="24"/>
          <w:szCs w:val="24"/>
        </w:rPr>
        <w:t>×（</w:t>
      </w:r>
      <w:r>
        <w:rPr>
          <w:rFonts w:hint="eastAsia" w:ascii="宋体" w:hAnsi="宋体" w:cs="宋体"/>
          <w:kern w:val="24"/>
          <w:sz w:val="24"/>
          <w:szCs w:val="24"/>
        </w:rPr>
        <w:t>收购当期造价指数/2011年11期造价指数）×</w:t>
      </w:r>
      <w:r>
        <w:rPr>
          <w:rFonts w:hint="eastAsia" w:ascii="宋体" w:hAnsi="宋体" w:cs="宋体"/>
          <w:color w:val="000000"/>
          <w:kern w:val="24"/>
          <w:sz w:val="24"/>
          <w:szCs w:val="24"/>
        </w:rPr>
        <w:t>（1－市</w:t>
      </w:r>
      <w:r>
        <w:rPr>
          <w:rFonts w:hint="eastAsia" w:ascii="宋体" w:hAnsi="宋体" w:cs="宋体"/>
          <w:color w:val="000000"/>
          <w:kern w:val="0"/>
          <w:sz w:val="24"/>
          <w:szCs w:val="24"/>
        </w:rPr>
        <w:t>造价站公布的上一年度住宅工程平均下浮率）＋其他费用</w:t>
      </w:r>
    </w:p>
    <w:tbl>
      <w:tblPr>
        <w:tblStyle w:val="4"/>
        <w:tblW w:w="9025" w:type="dxa"/>
        <w:jc w:val="center"/>
        <w:tblInd w:w="0" w:type="dxa"/>
        <w:tblLayout w:type="fixed"/>
        <w:tblCellMar>
          <w:top w:w="0" w:type="dxa"/>
          <w:left w:w="108" w:type="dxa"/>
          <w:bottom w:w="0" w:type="dxa"/>
          <w:right w:w="108" w:type="dxa"/>
        </w:tblCellMar>
      </w:tblPr>
      <w:tblGrid>
        <w:gridCol w:w="518"/>
        <w:gridCol w:w="980"/>
        <w:gridCol w:w="1636"/>
        <w:gridCol w:w="5891"/>
      </w:tblGrid>
      <w:tr>
        <w:tblPrEx>
          <w:tblLayout w:type="fixed"/>
          <w:tblCellMar>
            <w:top w:w="0" w:type="dxa"/>
            <w:left w:w="108" w:type="dxa"/>
            <w:bottom w:w="0" w:type="dxa"/>
            <w:right w:w="108" w:type="dxa"/>
          </w:tblCellMar>
        </w:tblPrEx>
        <w:trPr>
          <w:trHeight w:val="284"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序号</w:t>
            </w:r>
          </w:p>
        </w:tc>
        <w:tc>
          <w:tcPr>
            <w:tcW w:w="980" w:type="dxa"/>
            <w:tcBorders>
              <w:top w:val="single" w:color="auto" w:sz="4" w:space="0"/>
              <w:left w:val="nil"/>
              <w:bottom w:val="single" w:color="auto" w:sz="4" w:space="0"/>
              <w:right w:val="single" w:color="auto" w:sz="4" w:space="0"/>
            </w:tcBorders>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1636" w:type="dxa"/>
            <w:tcBorders>
              <w:top w:val="single" w:color="auto" w:sz="4" w:space="0"/>
              <w:left w:val="nil"/>
              <w:bottom w:val="single" w:color="auto" w:sz="4" w:space="0"/>
              <w:right w:val="single" w:color="auto" w:sz="4" w:space="0"/>
            </w:tcBorders>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计算方式</w:t>
            </w:r>
          </w:p>
        </w:tc>
        <w:tc>
          <w:tcPr>
            <w:tcW w:w="5891" w:type="dxa"/>
            <w:tcBorders>
              <w:top w:val="single" w:color="auto" w:sz="4" w:space="0"/>
              <w:left w:val="nil"/>
              <w:bottom w:val="single" w:color="auto" w:sz="4" w:space="0"/>
              <w:right w:val="single" w:color="auto" w:sz="4" w:space="0"/>
            </w:tcBorders>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包括内容</w:t>
            </w:r>
          </w:p>
        </w:tc>
      </w:tr>
      <w:tr>
        <w:tblPrEx>
          <w:tblLayout w:type="fixed"/>
          <w:tblCellMar>
            <w:top w:w="0" w:type="dxa"/>
            <w:left w:w="108" w:type="dxa"/>
            <w:bottom w:w="0" w:type="dxa"/>
            <w:right w:w="108" w:type="dxa"/>
          </w:tblCellMar>
        </w:tblPrEx>
        <w:trPr>
          <w:trHeight w:val="284" w:hRule="atLeast"/>
          <w:jc w:val="center"/>
        </w:trPr>
        <w:tc>
          <w:tcPr>
            <w:tcW w:w="518"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0"/>
                <w:szCs w:val="21"/>
              </w:rPr>
            </w:pPr>
            <w:r>
              <w:rPr>
                <w:rFonts w:hint="eastAsia" w:ascii="宋体" w:hAnsi="宋体" w:cs="宋体"/>
                <w:kern w:val="0"/>
                <w:szCs w:val="21"/>
              </w:rPr>
              <w:t>建设前期工程及勘察设计费</w:t>
            </w:r>
          </w:p>
        </w:tc>
        <w:tc>
          <w:tcPr>
            <w:tcW w:w="1636"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（建筑安装工程费及设备费＋基础设施建设费与公共配套建设费）×6%（或4.6%或者4.8%）</w:t>
            </w:r>
          </w:p>
        </w:tc>
        <w:tc>
          <w:tcPr>
            <w:tcW w:w="5891"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建设前期工程及勘察设计费包括：前期工作咨询费、环境影响评价费、水土保持评价费、招标代理服务费与工程交易服务费、勘察设计费及施工图审查费、工程造价咨询费、雷电风险评估费、交通影响评价，以及施工通水、通电、通路及场地平整、苗木迁移、临时占用绿地、路口开设等开发项目前期发生的所有费用。</w:t>
            </w:r>
          </w:p>
        </w:tc>
      </w:tr>
      <w:tr>
        <w:tblPrEx>
          <w:tblLayout w:type="fixed"/>
          <w:tblCellMar>
            <w:top w:w="0" w:type="dxa"/>
            <w:left w:w="108" w:type="dxa"/>
            <w:bottom w:w="0" w:type="dxa"/>
            <w:right w:w="108" w:type="dxa"/>
          </w:tblCellMar>
        </w:tblPrEx>
        <w:trPr>
          <w:trHeight w:val="284" w:hRule="atLeast"/>
          <w:jc w:val="center"/>
        </w:trPr>
        <w:tc>
          <w:tcPr>
            <w:tcW w:w="518" w:type="dxa"/>
            <w:tcBorders>
              <w:top w:val="nil"/>
              <w:left w:val="single" w:color="auto" w:sz="4" w:space="0"/>
              <w:bottom w:val="single" w:color="auto" w:sz="4" w:space="0"/>
              <w:right w:val="single" w:color="auto" w:sz="4" w:space="0"/>
            </w:tcBorders>
            <w:vAlign w:val="center"/>
          </w:tcPr>
          <w:p>
            <w:pPr>
              <w:widowControl/>
              <w:spacing w:line="310" w:lineRule="exact"/>
              <w:jc w:val="center"/>
              <w:rPr>
                <w:rFonts w:ascii="宋体" w:hAnsi="宋体" w:cs="宋体"/>
                <w:kern w:val="0"/>
                <w:szCs w:val="21"/>
              </w:rPr>
            </w:pPr>
            <w:r>
              <w:rPr>
                <w:rFonts w:hint="eastAsia" w:ascii="宋体" w:hAnsi="宋体" w:cs="宋体"/>
                <w:kern w:val="0"/>
                <w:szCs w:val="21"/>
              </w:rPr>
              <w:t>2</w:t>
            </w:r>
          </w:p>
        </w:tc>
        <w:tc>
          <w:tcPr>
            <w:tcW w:w="980"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0"/>
                <w:szCs w:val="21"/>
              </w:rPr>
            </w:pPr>
            <w:r>
              <w:rPr>
                <w:rFonts w:hint="eastAsia" w:ascii="宋体" w:hAnsi="宋体" w:cs="宋体"/>
                <w:kern w:val="0"/>
                <w:szCs w:val="21"/>
              </w:rPr>
              <w:t>建筑安装工程及设备费</w:t>
            </w:r>
          </w:p>
        </w:tc>
        <w:tc>
          <w:tcPr>
            <w:tcW w:w="1636"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见表1-1</w:t>
            </w:r>
          </w:p>
        </w:tc>
        <w:tc>
          <w:tcPr>
            <w:tcW w:w="5891" w:type="dxa"/>
            <w:tcBorders>
              <w:top w:val="nil"/>
              <w:left w:val="nil"/>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包括房屋主体部分的土建（含基坑、桩基）工程费、公共建筑装饰、水暖电、燃气、建筑智能、消防、电梯等安装工程费及设备费、附属工程费等，以及在施工过程中因设计变更等增加合同价款和合理的材料价差、施工过程所发生的检验检测、监测费及规费、保险费等。</w:t>
            </w:r>
          </w:p>
        </w:tc>
      </w:tr>
      <w:tr>
        <w:tblPrEx>
          <w:tblLayout w:type="fixed"/>
          <w:tblCellMar>
            <w:top w:w="0" w:type="dxa"/>
            <w:left w:w="108" w:type="dxa"/>
            <w:bottom w:w="0" w:type="dxa"/>
            <w:right w:w="108" w:type="dxa"/>
          </w:tblCellMar>
        </w:tblPrEx>
        <w:trPr>
          <w:trHeight w:val="284"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宋体" w:hAnsi="宋体" w:cs="宋体"/>
                <w:kern w:val="0"/>
                <w:szCs w:val="21"/>
              </w:rPr>
            </w:pPr>
            <w:r>
              <w:rPr>
                <w:rFonts w:hint="eastAsia" w:ascii="宋体" w:hAnsi="宋体" w:cs="宋体"/>
                <w:kern w:val="0"/>
                <w:szCs w:val="21"/>
              </w:rPr>
              <w:t>3</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0"/>
                <w:szCs w:val="21"/>
              </w:rPr>
            </w:pPr>
            <w:r>
              <w:rPr>
                <w:rFonts w:hint="eastAsia" w:ascii="宋体" w:hAnsi="宋体" w:cs="宋体"/>
                <w:kern w:val="0"/>
                <w:szCs w:val="21"/>
              </w:rPr>
              <w:t>基础设施建设费与公共配套建设费</w:t>
            </w:r>
          </w:p>
        </w:tc>
        <w:tc>
          <w:tcPr>
            <w:tcW w:w="1636" w:type="dxa"/>
            <w:tcBorders>
              <w:top w:val="single" w:color="auto" w:sz="4" w:space="0"/>
              <w:left w:val="single" w:color="auto" w:sz="4" w:space="0"/>
              <w:bottom w:val="single" w:color="auto" w:sz="4" w:space="0"/>
              <w:right w:val="single" w:color="auto" w:sz="4" w:space="0"/>
            </w:tcBorders>
            <w:vAlign w:val="center"/>
          </w:tcPr>
          <w:p>
            <w:pPr>
              <w:spacing w:line="300" w:lineRule="exact"/>
              <w:ind w:left="-42" w:leftChars="-20" w:right="-42" w:rightChars="-20"/>
              <w:rPr>
                <w:rFonts w:ascii="宋体" w:hAnsi="宋体" w:cs="宋体"/>
                <w:color w:val="000000"/>
                <w:kern w:val="21"/>
                <w:szCs w:val="21"/>
              </w:rPr>
            </w:pPr>
            <w:r>
              <w:rPr>
                <w:rFonts w:hint="eastAsia" w:ascii="宋体" w:hAnsi="宋体" w:cs="宋体"/>
                <w:color w:val="000000"/>
                <w:kern w:val="21"/>
                <w:szCs w:val="21"/>
              </w:rPr>
              <w:t>建筑安装工程及设备费×5%</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42" w:leftChars="-20" w:right="-42" w:rightChars="-20"/>
              <w:rPr>
                <w:rFonts w:ascii="宋体" w:hAnsi="宋体" w:cs="宋体"/>
                <w:kern w:val="21"/>
                <w:szCs w:val="21"/>
              </w:rPr>
            </w:pPr>
            <w:r>
              <w:rPr>
                <w:rFonts w:hint="eastAsia" w:ascii="宋体" w:hAnsi="宋体" w:cs="宋体"/>
                <w:kern w:val="21"/>
                <w:szCs w:val="21"/>
              </w:rPr>
              <w:t>基础设施建设费包括：（1）园林绿化，其苗木种植是指乔木、灌木及地被搭配种植，主要苗木的规格不得低于以下标准：乔木胸径6-7厘米、灌木苗高*冠幅100*80厘米、花坛苗高*冠幅20*15厘米，且乔灌木种植面积占绿化面积不得低于15%。（2）社区智能，通信系统设备安装，监控系统安装，有线电视系统设备安装，停车场管理系统及室外交通设施等所有室外智能线路铺设及设备安装。（3）社区管网，室外所有管道安装，阀门、水表安装、阀门井制作。（4）室外土建、园建及照明，室外道路（包括消防车道）、绿化种植土回填、室外铺装、挡墙、围墙、边坡、标识系统、照明、休闲活动场所等所有室外土建、园建。</w:t>
            </w:r>
            <w:r>
              <w:rPr>
                <w:rFonts w:hint="eastAsia" w:ascii="宋体" w:hAnsi="宋体"/>
                <w:kern w:val="21"/>
                <w:szCs w:val="21"/>
              </w:rPr>
              <w:t>公共配套设施建设费</w:t>
            </w:r>
            <w:r>
              <w:rPr>
                <w:rFonts w:hint="eastAsia" w:ascii="宋体" w:hAnsi="宋体" w:cs="宋体"/>
                <w:kern w:val="21"/>
                <w:szCs w:val="21"/>
              </w:rPr>
              <w:t>包括小区居民共同使用或者建后产权归全体业主共有的附属及配套设施如物业管理用房、小区文化室</w:t>
            </w:r>
            <w:r>
              <w:rPr>
                <w:rFonts w:hint="eastAsia" w:ascii="宋体" w:hAnsi="宋体"/>
                <w:kern w:val="21"/>
                <w:szCs w:val="21"/>
              </w:rPr>
              <w:t>或者业主委员会用房、设备用房、垃圾收集站、游泳池、网球场、篮球场等。</w:t>
            </w:r>
          </w:p>
        </w:tc>
      </w:tr>
      <w:tr>
        <w:tblPrEx>
          <w:tblLayout w:type="fixed"/>
          <w:tblCellMar>
            <w:top w:w="0" w:type="dxa"/>
            <w:left w:w="108" w:type="dxa"/>
            <w:bottom w:w="0" w:type="dxa"/>
            <w:right w:w="108" w:type="dxa"/>
          </w:tblCellMar>
        </w:tblPrEx>
        <w:trPr>
          <w:trHeight w:val="284"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宋体" w:hAnsi="宋体" w:cs="宋体"/>
                <w:kern w:val="0"/>
                <w:szCs w:val="21"/>
              </w:rPr>
            </w:pPr>
            <w:r>
              <w:rPr>
                <w:rFonts w:hint="eastAsia" w:ascii="宋体" w:hAnsi="宋体" w:cs="宋体"/>
                <w:kern w:val="0"/>
                <w:szCs w:val="21"/>
              </w:rPr>
              <w:t>4</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left="-42" w:leftChars="-20" w:right="-42" w:rightChars="-20"/>
              <w:rPr>
                <w:rFonts w:ascii="宋体" w:hAnsi="宋体" w:cs="宋体"/>
                <w:kern w:val="0"/>
                <w:szCs w:val="21"/>
              </w:rPr>
            </w:pPr>
            <w:r>
              <w:rPr>
                <w:rFonts w:hint="eastAsia" w:ascii="宋体" w:hAnsi="宋体" w:cs="宋体"/>
                <w:kern w:val="0"/>
                <w:szCs w:val="21"/>
              </w:rPr>
              <w:t>其他费用</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left="-42" w:leftChars="-20" w:right="-42" w:rightChars="-20"/>
              <w:rPr>
                <w:rFonts w:ascii="宋体" w:hAnsi="宋体" w:cs="宋体"/>
                <w:kern w:val="0"/>
                <w:szCs w:val="21"/>
              </w:rPr>
            </w:pPr>
          </w:p>
        </w:tc>
        <w:tc>
          <w:tcPr>
            <w:tcW w:w="5891"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left="-42" w:leftChars="-20" w:right="-42" w:rightChars="-20"/>
              <w:rPr>
                <w:rFonts w:ascii="宋体" w:hAnsi="宋体" w:cs="宋体"/>
                <w:kern w:val="0"/>
                <w:szCs w:val="21"/>
              </w:rPr>
            </w:pPr>
            <w:r>
              <w:rPr>
                <w:rFonts w:hint="eastAsia" w:ascii="宋体" w:hAnsi="宋体" w:cs="宋体"/>
                <w:kern w:val="0"/>
                <w:szCs w:val="21"/>
              </w:rPr>
              <w:t>见表1-2</w:t>
            </w:r>
          </w:p>
        </w:tc>
      </w:tr>
    </w:tbl>
    <w:p>
      <w:pPr>
        <w:snapToGrid w:val="0"/>
        <w:spacing w:before="156" w:beforeLines="50" w:line="330" w:lineRule="atLeast"/>
        <w:rPr>
          <w:rFonts w:hint="eastAsia" w:ascii="楷体_GB2312" w:hAnsi="宋体" w:eastAsia="楷体_GB2312" w:cs="宋体"/>
          <w:kern w:val="0"/>
          <w:szCs w:val="21"/>
        </w:rPr>
      </w:pPr>
      <w:r>
        <w:rPr>
          <w:rFonts w:hint="eastAsia" w:ascii="楷体_GB2312" w:hAnsi="宋体" w:eastAsia="楷体_GB2312" w:cs="宋体"/>
          <w:kern w:val="0"/>
          <w:szCs w:val="21"/>
        </w:rPr>
        <w:t>说明：1</w:t>
      </w:r>
      <w:r>
        <w:rPr>
          <w:rFonts w:hint="eastAsia" w:ascii="楷体_GB2312" w:hAnsi="宋体" w:eastAsia="楷体_GB2312" w:cs="宋体"/>
          <w:szCs w:val="21"/>
        </w:rPr>
        <w:t>．</w:t>
      </w:r>
      <w:r>
        <w:rPr>
          <w:rFonts w:hint="eastAsia" w:ascii="楷体_GB2312" w:hAnsi="宋体" w:eastAsia="楷体_GB2312" w:cs="宋体"/>
          <w:kern w:val="0"/>
          <w:szCs w:val="21"/>
        </w:rPr>
        <w:t>建设前期工程及勘察设计费是以无复用或者无采用标准设计考虑，如工程设计中采用标准设计或者复用设计的，其建设前期工程及勘察设计费应当为建安工程费、基础设施建设费用以及公共配套建设费的4.6%；采用标准设计或者复用设计但需要重新进行基础设计的，其建设前期工程及勘察设计费应当为建安工程费、基础设施建设费用以及公共配套建设费的4.8%。</w:t>
      </w:r>
    </w:p>
    <w:p>
      <w:pPr>
        <w:widowControl/>
        <w:spacing w:line="330" w:lineRule="atLeast"/>
        <w:ind w:firstLine="630" w:firstLineChars="300"/>
        <w:rPr>
          <w:rFonts w:hint="eastAsia" w:ascii="楷体_GB2312" w:hAnsi="宋体" w:eastAsia="楷体_GB2312" w:cs="宋体"/>
          <w:kern w:val="0"/>
          <w:szCs w:val="21"/>
        </w:rPr>
      </w:pPr>
      <w:r>
        <w:rPr>
          <w:rFonts w:hint="eastAsia" w:ascii="楷体_GB2312" w:hAnsi="宋体" w:eastAsia="楷体_GB2312" w:cs="宋体"/>
          <w:kern w:val="0"/>
          <w:szCs w:val="21"/>
        </w:rPr>
        <w:t>2</w:t>
      </w:r>
      <w:r>
        <w:rPr>
          <w:rFonts w:hint="eastAsia" w:ascii="楷体_GB2312" w:hAnsi="宋体" w:eastAsia="楷体_GB2312" w:cs="宋体"/>
          <w:szCs w:val="21"/>
        </w:rPr>
        <w:t>．</w:t>
      </w:r>
      <w:r>
        <w:rPr>
          <w:rFonts w:hint="eastAsia" w:ascii="楷体_GB2312" w:hAnsi="宋体" w:eastAsia="楷体_GB2312" w:cs="宋体"/>
          <w:kern w:val="0"/>
          <w:szCs w:val="21"/>
        </w:rPr>
        <w:t>收购价格测算时点在2016年以后的，住宅工程下浮率采用造价站发布的2014年住宅工程下浮率。</w:t>
      </w:r>
    </w:p>
    <w:p>
      <w:pPr>
        <w:snapToGrid w:val="0"/>
        <w:spacing w:line="0" w:lineRule="atLeast"/>
        <w:jc w:val="center"/>
        <w:rPr>
          <w:rFonts w:ascii="宋体" w:hAnsi="宋体"/>
          <w:sz w:val="36"/>
          <w:szCs w:val="36"/>
        </w:rPr>
      </w:pPr>
      <w:r>
        <w:rPr>
          <w:rFonts w:hint="eastAsia" w:ascii="宋体" w:hAnsi="宋体"/>
          <w:sz w:val="36"/>
          <w:szCs w:val="36"/>
        </w:rPr>
        <w:t>表1-1  建筑安装工程及设备经济指标</w:t>
      </w:r>
    </w:p>
    <w:p>
      <w:pPr>
        <w:autoSpaceDN w:val="0"/>
        <w:spacing w:before="156" w:beforeLines="50" w:after="156" w:afterLines="50" w:line="400" w:lineRule="atLeast"/>
        <w:ind w:firstLine="480" w:firstLineChars="200"/>
        <w:rPr>
          <w:rFonts w:ascii="宋体" w:hAnsi="宋体" w:cs="宋体"/>
          <w:kern w:val="0"/>
          <w:sz w:val="24"/>
          <w:szCs w:val="24"/>
        </w:rPr>
      </w:pPr>
      <w:r>
        <w:rPr>
          <w:rFonts w:hint="eastAsia" w:ascii="宋体" w:hAnsi="宋体" w:cs="宋体"/>
          <w:kern w:val="0"/>
          <w:sz w:val="24"/>
          <w:szCs w:val="24"/>
        </w:rPr>
        <w:t>依据收购房屋所在楼栋的总楼层、地下室层数以及基坑支护施工特点选择对应的建筑安装工程及设备的经济指标。</w:t>
      </w:r>
    </w:p>
    <w:tbl>
      <w:tblPr>
        <w:tblStyle w:val="4"/>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00"/>
        <w:gridCol w:w="3115"/>
        <w:gridCol w:w="720"/>
        <w:gridCol w:w="1785"/>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序号</w:t>
            </w:r>
          </w:p>
        </w:tc>
        <w:tc>
          <w:tcPr>
            <w:tcW w:w="3915" w:type="dxa"/>
            <w:gridSpan w:val="2"/>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单位工程</w:t>
            </w:r>
          </w:p>
        </w:tc>
        <w:tc>
          <w:tcPr>
            <w:tcW w:w="720" w:type="dxa"/>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单位</w:t>
            </w:r>
          </w:p>
        </w:tc>
        <w:tc>
          <w:tcPr>
            <w:tcW w:w="1785" w:type="dxa"/>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单价</w:t>
            </w:r>
          </w:p>
        </w:tc>
        <w:tc>
          <w:tcPr>
            <w:tcW w:w="2183" w:type="dxa"/>
            <w:vAlign w:val="center"/>
          </w:tcPr>
          <w:p>
            <w:pPr>
              <w:pStyle w:val="2"/>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工程特征及工程范围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w:t>
            </w:r>
          </w:p>
        </w:tc>
        <w:tc>
          <w:tcPr>
            <w:tcW w:w="800" w:type="dxa"/>
            <w:vMerge w:val="restart"/>
            <w:vAlign w:val="center"/>
          </w:tcPr>
          <w:p>
            <w:pPr>
              <w:pStyle w:val="2"/>
              <w:spacing w:line="300" w:lineRule="exact"/>
              <w:ind w:left="-63" w:leftChars="-30" w:right="-63" w:rightChars="-30"/>
              <w:rPr>
                <w:rFonts w:hAnsi="宋体" w:cs="宋体"/>
                <w:szCs w:val="21"/>
              </w:rPr>
            </w:pPr>
            <w:r>
              <w:rPr>
                <w:rFonts w:hint="eastAsia" w:hAnsi="宋体" w:cs="宋体"/>
                <w:szCs w:val="21"/>
              </w:rPr>
              <w:t>框剪结构25层以上，建筑高度100米（含100米）以内的高层住宅</w:t>
            </w: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2层及多于2层地下室且基坑采用排桩或锚索支护（排桩或锚索支护面占总支护面积50%以上）</w:t>
            </w:r>
          </w:p>
        </w:tc>
        <w:tc>
          <w:tcPr>
            <w:tcW w:w="720" w:type="dxa"/>
            <w:vMerge w:val="restart"/>
            <w:vAlign w:val="center"/>
          </w:tcPr>
          <w:p>
            <w:pPr>
              <w:pStyle w:val="2"/>
              <w:spacing w:line="300" w:lineRule="exact"/>
              <w:ind w:left="-63" w:leftChars="-30" w:right="-63" w:rightChars="-30"/>
              <w:rPr>
                <w:rFonts w:hAnsi="宋体" w:cs="宋体"/>
                <w:szCs w:val="21"/>
              </w:rPr>
            </w:pPr>
            <w:r>
              <w:rPr>
                <w:rFonts w:hint="eastAsia" w:hAnsi="宋体" w:cs="宋体"/>
                <w:szCs w:val="21"/>
              </w:rPr>
              <w:t>元/平方米住宅建筑面积</w:t>
            </w: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3710</w:t>
            </w:r>
          </w:p>
        </w:tc>
        <w:tc>
          <w:tcPr>
            <w:tcW w:w="2183" w:type="dxa"/>
            <w:vMerge w:val="restart"/>
            <w:vAlign w:val="center"/>
          </w:tcPr>
          <w:p>
            <w:pPr>
              <w:pStyle w:val="2"/>
              <w:spacing w:line="300" w:lineRule="exact"/>
              <w:ind w:left="-63" w:leftChars="-30" w:right="-63" w:rightChars="-30"/>
              <w:rPr>
                <w:rFonts w:hAnsi="宋体" w:cs="宋体"/>
                <w:szCs w:val="21"/>
              </w:rPr>
            </w:pPr>
            <w:r>
              <w:rPr>
                <w:rFonts w:hint="eastAsia" w:hAnsi="宋体" w:cs="宋体"/>
                <w:szCs w:val="21"/>
              </w:rPr>
              <w:t>除地下室所有单位主体建筑及其附属结构，主要包括：土石方、基坑支护、桩基础、入户门（采用钢质防火门或其他）、门窗（铝合金或塑钢门窗或者其他</w:t>
            </w:r>
            <w:r>
              <w:rPr>
                <w:rFonts w:hint="eastAsia" w:hAnsi="宋体" w:cs="宋体"/>
                <w:spacing w:val="-10"/>
                <w:szCs w:val="21"/>
              </w:rPr>
              <w:t>）、</w:t>
            </w:r>
            <w:r>
              <w:rPr>
                <w:rFonts w:hint="eastAsia" w:hAnsi="宋体" w:cs="宋体"/>
                <w:szCs w:val="21"/>
              </w:rPr>
              <w:t>公共建筑装修、室内毛坯、外墙面（涂料或砖或者其他）等所有建筑及附属结构；安装部分：给排水、电气（高低压配电发电机组）、消防水、消防电、气体灭火系统、通风防排烟、通风空调、燃气、弱电工程（包括视频监控系统等），电梯工程等所有安装设备工程且管道铺设至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2</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一层地下室且基坑采用排桩或锚索支护（排桩或锚索支护面占总支护面积50%以上）</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3630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2层及多于2层地下室且基坑采用土钉锚支护</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3600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4</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一层地下室基坑采用土钉锚支护</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3580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5</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2层及多于2层地下室利用天然独立基础</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3370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6</w:t>
            </w:r>
          </w:p>
        </w:tc>
        <w:tc>
          <w:tcPr>
            <w:tcW w:w="800" w:type="dxa"/>
            <w:vMerge w:val="continue"/>
            <w:tcBorders>
              <w:bottom w:val="single" w:color="auto" w:sz="4" w:space="0"/>
            </w:tcBorders>
            <w:vAlign w:val="center"/>
          </w:tcPr>
          <w:p>
            <w:pPr>
              <w:pStyle w:val="2"/>
              <w:spacing w:line="300" w:lineRule="exact"/>
              <w:ind w:left="-63" w:leftChars="-30" w:right="-63" w:rightChars="-30"/>
              <w:rPr>
                <w:rFonts w:hAnsi="宋体" w:cs="宋体"/>
                <w:szCs w:val="21"/>
              </w:rPr>
            </w:pPr>
          </w:p>
        </w:tc>
        <w:tc>
          <w:tcPr>
            <w:tcW w:w="3115" w:type="dxa"/>
            <w:tcBorders>
              <w:bottom w:val="single" w:color="auto" w:sz="4" w:space="0"/>
            </w:tcBorders>
            <w:vAlign w:val="center"/>
          </w:tcPr>
          <w:p>
            <w:pPr>
              <w:pStyle w:val="2"/>
              <w:spacing w:line="300" w:lineRule="exact"/>
              <w:ind w:left="-63" w:leftChars="-30" w:right="-63" w:rightChars="-30"/>
              <w:rPr>
                <w:rFonts w:hAnsi="宋体" w:cs="宋体"/>
                <w:szCs w:val="21"/>
              </w:rPr>
            </w:pPr>
            <w:r>
              <w:rPr>
                <w:rFonts w:hint="eastAsia" w:hAnsi="宋体" w:cs="宋体"/>
                <w:szCs w:val="21"/>
              </w:rPr>
              <w:t>一层地下室利用天然独立基础</w:t>
            </w:r>
          </w:p>
        </w:tc>
        <w:tc>
          <w:tcPr>
            <w:tcW w:w="720" w:type="dxa"/>
            <w:vMerge w:val="continue"/>
            <w:tcBorders>
              <w:bottom w:val="single" w:color="auto" w:sz="4" w:space="0"/>
            </w:tcBorders>
            <w:vAlign w:val="center"/>
          </w:tcPr>
          <w:p>
            <w:pPr>
              <w:pStyle w:val="2"/>
              <w:spacing w:line="300" w:lineRule="exact"/>
              <w:ind w:left="-63" w:leftChars="-30" w:right="-63" w:rightChars="-30"/>
              <w:rPr>
                <w:rFonts w:hAnsi="宋体" w:cs="宋体"/>
                <w:szCs w:val="21"/>
              </w:rPr>
            </w:pPr>
          </w:p>
        </w:tc>
        <w:tc>
          <w:tcPr>
            <w:tcW w:w="1785" w:type="dxa"/>
            <w:tcBorders>
              <w:bottom w:val="single" w:color="auto" w:sz="4" w:space="0"/>
            </w:tcBorders>
            <w:vAlign w:val="center"/>
          </w:tcPr>
          <w:p>
            <w:pPr>
              <w:pStyle w:val="2"/>
              <w:spacing w:line="300" w:lineRule="exact"/>
              <w:ind w:left="-63" w:leftChars="-30" w:right="-63" w:rightChars="-30"/>
              <w:jc w:val="center"/>
              <w:rPr>
                <w:rFonts w:hAnsi="宋体" w:cs="宋体"/>
                <w:szCs w:val="21"/>
              </w:rPr>
            </w:pPr>
            <w:r>
              <w:rPr>
                <w:rFonts w:hint="eastAsia" w:hAnsi="宋体" w:cs="宋体"/>
                <w:szCs w:val="21"/>
              </w:rPr>
              <w:t>3290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7</w:t>
            </w:r>
          </w:p>
        </w:tc>
        <w:tc>
          <w:tcPr>
            <w:tcW w:w="800" w:type="dxa"/>
            <w:vMerge w:val="restart"/>
            <w:vAlign w:val="center"/>
          </w:tcPr>
          <w:p>
            <w:pPr>
              <w:pStyle w:val="2"/>
              <w:spacing w:line="300" w:lineRule="exact"/>
              <w:ind w:left="-63" w:leftChars="-30" w:right="-63" w:rightChars="-30"/>
              <w:rPr>
                <w:rFonts w:hAnsi="宋体" w:cs="宋体"/>
                <w:szCs w:val="21"/>
              </w:rPr>
            </w:pPr>
            <w:r>
              <w:rPr>
                <w:rFonts w:hint="eastAsia" w:hAnsi="宋体" w:cs="宋体"/>
                <w:szCs w:val="21"/>
              </w:rPr>
              <w:t>框剪结</w:t>
            </w:r>
            <w:r>
              <w:rPr>
                <w:rFonts w:hint="eastAsia" w:hAnsi="宋体" w:cs="宋体"/>
                <w:spacing w:val="-8"/>
                <w:szCs w:val="21"/>
              </w:rPr>
              <w:t>构15-24</w:t>
            </w:r>
            <w:r>
              <w:rPr>
                <w:rFonts w:hint="eastAsia" w:hAnsi="宋体" w:cs="宋体"/>
                <w:szCs w:val="21"/>
              </w:rPr>
              <w:t>层高层住宅</w:t>
            </w: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2层及多于2层地下室且基坑采用排桩或锚索支护（排桩或锚索支护面占总支护面积50%以上）</w:t>
            </w:r>
          </w:p>
        </w:tc>
        <w:tc>
          <w:tcPr>
            <w:tcW w:w="720" w:type="dxa"/>
            <w:vMerge w:val="restart"/>
            <w:vAlign w:val="center"/>
          </w:tcPr>
          <w:p>
            <w:pPr>
              <w:pStyle w:val="2"/>
              <w:spacing w:line="300" w:lineRule="exact"/>
              <w:ind w:left="-63" w:leftChars="-30" w:right="-63" w:rightChars="-30"/>
              <w:rPr>
                <w:rFonts w:hAnsi="宋体" w:cs="宋体"/>
                <w:szCs w:val="21"/>
              </w:rPr>
            </w:pPr>
            <w:r>
              <w:rPr>
                <w:rFonts w:hint="eastAsia" w:hAnsi="宋体" w:cs="宋体"/>
                <w:szCs w:val="21"/>
              </w:rPr>
              <w:t>元/平方米住宅建筑面积</w:t>
            </w: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3530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8</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一层地下室且基坑采用排桩或锚索支护（排桩或锚索支护面占总支护面积50%以上）</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3440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9</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2层及多于2层地下室基坑采用土钉锚支护</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3400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10</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一层地下室基坑采用土钉锚支护</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3320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11</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2层及多于2层地下室利用天然独立基础</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3190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12</w:t>
            </w:r>
          </w:p>
        </w:tc>
        <w:tc>
          <w:tcPr>
            <w:tcW w:w="800" w:type="dxa"/>
            <w:vMerge w:val="continue"/>
            <w:vAlign w:val="center"/>
          </w:tcPr>
          <w:p>
            <w:pPr>
              <w:pStyle w:val="2"/>
              <w:spacing w:line="300" w:lineRule="exact"/>
              <w:ind w:left="-63" w:leftChars="-30" w:right="-63" w:rightChars="-30"/>
              <w:rPr>
                <w:rFonts w:hAnsi="宋体" w:cs="宋体"/>
                <w:szCs w:val="21"/>
              </w:rPr>
            </w:pPr>
          </w:p>
        </w:tc>
        <w:tc>
          <w:tcPr>
            <w:tcW w:w="3115" w:type="dxa"/>
            <w:vAlign w:val="center"/>
          </w:tcPr>
          <w:p>
            <w:pPr>
              <w:pStyle w:val="2"/>
              <w:spacing w:line="300" w:lineRule="exact"/>
              <w:ind w:left="-63" w:leftChars="-30" w:right="-63" w:rightChars="-30"/>
              <w:rPr>
                <w:rFonts w:hAnsi="宋体" w:cs="宋体"/>
                <w:szCs w:val="21"/>
              </w:rPr>
            </w:pPr>
            <w:r>
              <w:rPr>
                <w:rFonts w:hint="eastAsia" w:hAnsi="宋体" w:cs="宋体"/>
                <w:szCs w:val="21"/>
              </w:rPr>
              <w:t>一层地下室利用天然独立基础</w:t>
            </w:r>
          </w:p>
        </w:tc>
        <w:tc>
          <w:tcPr>
            <w:tcW w:w="720" w:type="dxa"/>
            <w:vMerge w:val="continue"/>
            <w:vAlign w:val="center"/>
          </w:tcPr>
          <w:p>
            <w:pPr>
              <w:pStyle w:val="2"/>
              <w:spacing w:line="300" w:lineRule="exact"/>
              <w:ind w:left="-63" w:leftChars="-30" w:right="-63" w:rightChars="-30"/>
              <w:rPr>
                <w:rFonts w:hAnsi="宋体" w:cs="宋体"/>
                <w:szCs w:val="21"/>
              </w:rPr>
            </w:pP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3110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13</w:t>
            </w:r>
          </w:p>
        </w:tc>
        <w:tc>
          <w:tcPr>
            <w:tcW w:w="3915" w:type="dxa"/>
            <w:gridSpan w:val="2"/>
            <w:vAlign w:val="center"/>
          </w:tcPr>
          <w:p>
            <w:pPr>
              <w:pStyle w:val="2"/>
              <w:spacing w:line="300" w:lineRule="exact"/>
              <w:ind w:left="-63" w:leftChars="-30" w:right="-63" w:rightChars="-30"/>
              <w:rPr>
                <w:rFonts w:hAnsi="宋体" w:cs="宋体"/>
                <w:szCs w:val="21"/>
              </w:rPr>
            </w:pPr>
            <w:r>
              <w:rPr>
                <w:rFonts w:hint="eastAsia" w:hAnsi="宋体" w:cs="宋体"/>
                <w:szCs w:val="21"/>
              </w:rPr>
              <w:t>框剪结构14层以下住宅</w:t>
            </w:r>
          </w:p>
        </w:tc>
        <w:tc>
          <w:tcPr>
            <w:tcW w:w="720" w:type="dxa"/>
            <w:vAlign w:val="center"/>
          </w:tcPr>
          <w:p>
            <w:pPr>
              <w:pStyle w:val="2"/>
              <w:spacing w:line="300" w:lineRule="exact"/>
              <w:ind w:left="-63" w:leftChars="-30" w:right="-63" w:rightChars="-30"/>
              <w:rPr>
                <w:rFonts w:hAnsi="宋体" w:cs="宋体"/>
                <w:szCs w:val="21"/>
              </w:rPr>
            </w:pPr>
            <w:r>
              <w:rPr>
                <w:rFonts w:hint="eastAsia" w:hAnsi="宋体" w:cs="宋体"/>
                <w:szCs w:val="21"/>
              </w:rPr>
              <w:t>元/平方米住宅建筑面积</w:t>
            </w:r>
          </w:p>
        </w:tc>
        <w:tc>
          <w:tcPr>
            <w:tcW w:w="1785"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2550</w:t>
            </w:r>
          </w:p>
        </w:tc>
        <w:tc>
          <w:tcPr>
            <w:tcW w:w="2183" w:type="dxa"/>
            <w:vMerge w:val="continue"/>
            <w:vAlign w:val="center"/>
          </w:tcPr>
          <w:p>
            <w:pPr>
              <w:pStyle w:val="2"/>
              <w:spacing w:line="260" w:lineRule="exact"/>
              <w:ind w:left="-63" w:leftChars="-30" w:right="-63" w:rightChars="-30"/>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13" w:type="dxa"/>
            <w:vAlign w:val="center"/>
          </w:tcPr>
          <w:p>
            <w:pPr>
              <w:pStyle w:val="2"/>
              <w:spacing w:line="300" w:lineRule="exact"/>
              <w:ind w:left="-63" w:leftChars="-30" w:right="-63" w:rightChars="-30"/>
              <w:jc w:val="center"/>
              <w:rPr>
                <w:rFonts w:hAnsi="宋体" w:cs="宋体"/>
                <w:szCs w:val="21"/>
              </w:rPr>
            </w:pPr>
            <w:r>
              <w:rPr>
                <w:rFonts w:hint="eastAsia" w:hAnsi="宋体" w:cs="宋体"/>
                <w:szCs w:val="21"/>
              </w:rPr>
              <w:t>14</w:t>
            </w:r>
          </w:p>
        </w:tc>
        <w:tc>
          <w:tcPr>
            <w:tcW w:w="3915" w:type="dxa"/>
            <w:gridSpan w:val="2"/>
            <w:vAlign w:val="center"/>
          </w:tcPr>
          <w:p>
            <w:pPr>
              <w:pStyle w:val="2"/>
              <w:spacing w:line="300" w:lineRule="exact"/>
              <w:ind w:left="-63" w:leftChars="-30" w:right="-63" w:rightChars="-30"/>
              <w:rPr>
                <w:rFonts w:hAnsi="宋体" w:cs="宋体"/>
                <w:szCs w:val="21"/>
              </w:rPr>
            </w:pPr>
            <w:r>
              <w:rPr>
                <w:rFonts w:hint="eastAsia" w:hAnsi="宋体" w:cs="宋体"/>
                <w:szCs w:val="21"/>
              </w:rPr>
              <w:t>超高层住宅（建筑高度100米以上）</w:t>
            </w:r>
          </w:p>
        </w:tc>
        <w:tc>
          <w:tcPr>
            <w:tcW w:w="720" w:type="dxa"/>
            <w:vAlign w:val="center"/>
          </w:tcPr>
          <w:p>
            <w:pPr>
              <w:pStyle w:val="2"/>
              <w:spacing w:line="300" w:lineRule="exact"/>
              <w:ind w:left="-63" w:leftChars="-30" w:right="-63" w:rightChars="-30"/>
              <w:rPr>
                <w:rFonts w:hAnsi="宋体" w:cs="宋体"/>
                <w:szCs w:val="21"/>
              </w:rPr>
            </w:pPr>
            <w:r>
              <w:rPr>
                <w:rFonts w:hint="eastAsia" w:hAnsi="宋体" w:cs="宋体"/>
                <w:szCs w:val="21"/>
              </w:rPr>
              <w:t>元/平方米住宅建筑面积</w:t>
            </w:r>
          </w:p>
        </w:tc>
        <w:tc>
          <w:tcPr>
            <w:tcW w:w="1785" w:type="dxa"/>
            <w:vAlign w:val="center"/>
          </w:tcPr>
          <w:p>
            <w:pPr>
              <w:pStyle w:val="2"/>
              <w:spacing w:line="300" w:lineRule="exact"/>
              <w:ind w:left="-63" w:leftChars="-30" w:right="-63" w:rightChars="-30"/>
              <w:rPr>
                <w:rFonts w:hAnsi="宋体" w:cs="宋体"/>
                <w:szCs w:val="21"/>
              </w:rPr>
            </w:pPr>
            <w:r>
              <w:rPr>
                <w:rFonts w:hint="eastAsia" w:hAnsi="宋体" w:cs="宋体"/>
                <w:szCs w:val="21"/>
              </w:rPr>
              <w:t>在25层以上建筑高度100米（含100米）以内的同类别的单位工程的经济指标基础上上浮20%</w:t>
            </w:r>
          </w:p>
        </w:tc>
        <w:tc>
          <w:tcPr>
            <w:tcW w:w="2183" w:type="dxa"/>
            <w:vMerge w:val="continue"/>
            <w:vAlign w:val="center"/>
          </w:tcPr>
          <w:p>
            <w:pPr>
              <w:pStyle w:val="2"/>
              <w:spacing w:line="260" w:lineRule="exact"/>
              <w:ind w:left="-63" w:leftChars="-30" w:right="-63" w:rightChars="-30"/>
              <w:rPr>
                <w:rFonts w:hAnsi="宋体" w:cs="宋体"/>
                <w:szCs w:val="21"/>
              </w:rPr>
            </w:pPr>
          </w:p>
        </w:tc>
      </w:tr>
    </w:tbl>
    <w:p>
      <w:pPr>
        <w:autoSpaceDN w:val="0"/>
        <w:spacing w:line="330" w:lineRule="atLeast"/>
        <w:rPr>
          <w:rFonts w:hint="eastAsia" w:ascii="楷体_GB2312" w:hAnsi="宋体" w:eastAsia="楷体_GB2312" w:cs="宋体"/>
          <w:szCs w:val="21"/>
        </w:rPr>
      </w:pPr>
      <w:r>
        <w:rPr>
          <w:rFonts w:hint="eastAsia" w:ascii="楷体_GB2312" w:hAnsi="宋体" w:eastAsia="楷体_GB2312" w:cs="宋体"/>
          <w:szCs w:val="21"/>
        </w:rPr>
        <w:t>注：1．表中的经济指标未含地下室工程造价。地下室经济指标为：2层及多于2层地下室经济指标是2200元/平方米地下室面积（包括地下室建筑及安装造价、人防工程、地下室车道出入口、车位装修、标识牌等），一层地下室或半层地下室经济指标是2300元/平方米地下室面积（包括地下室建筑及安装造价、人防工程、地下室车道出入口、车位装修、标识牌等）。收购价格是否分摊地下室造价，按地下车库的收益归属哪一方判断，如果地下车库收益归被收购方，则地下室造价不应该分摊至收购价格；如果地下车库收益归收购方，则地下室造价应当该分摊至收购价格，地下室造价分摊按收购的保障性住房面积占宗地可售面积的比例进行分摊，计算方式为地下室建筑面积乘以地下室经济指标，然后除以宗地可售面积。宗地可售面积，是指宗地内有产权、可出售的住宅和商业，住宅包括拆迁安置回迁房。</w:t>
      </w:r>
    </w:p>
    <w:p>
      <w:pPr>
        <w:pStyle w:val="2"/>
        <w:spacing w:line="330" w:lineRule="atLeast"/>
        <w:ind w:firstLine="420" w:firstLineChars="200"/>
        <w:rPr>
          <w:rFonts w:hint="eastAsia" w:ascii="楷体_GB2312" w:hAnsi="宋体" w:eastAsia="楷体_GB2312" w:cs="宋体"/>
          <w:szCs w:val="21"/>
        </w:rPr>
      </w:pPr>
      <w:r>
        <w:rPr>
          <w:rFonts w:hint="eastAsia" w:ascii="楷体_GB2312" w:hAnsi="宋体" w:eastAsia="楷体_GB2312" w:cs="宋体"/>
          <w:szCs w:val="21"/>
        </w:rPr>
        <w:t>2．框剪结构14层以下住宅，如不包括电梯工程，则应当在该经济指标基础上再扣减130元。</w:t>
      </w:r>
    </w:p>
    <w:p>
      <w:pPr>
        <w:snapToGrid w:val="0"/>
        <w:spacing w:line="330" w:lineRule="atLeast"/>
        <w:ind w:firstLine="420" w:firstLineChars="200"/>
        <w:rPr>
          <w:rFonts w:hint="eastAsia" w:ascii="楷体_GB2312" w:hAnsi="宋体" w:eastAsia="楷体_GB2312" w:cs="宋体"/>
          <w:szCs w:val="21"/>
        </w:rPr>
      </w:pPr>
      <w:r>
        <w:rPr>
          <w:rFonts w:hint="eastAsia" w:ascii="楷体_GB2312" w:hAnsi="宋体" w:eastAsia="楷体_GB2312" w:cs="宋体"/>
          <w:szCs w:val="21"/>
        </w:rPr>
        <w:t>3．表中的经济指标未含太阳能热水系统和中水系统，如收购项目含有太阳能热水系统和中水系统，则其价格另算，中水系统按33.69元/平方米计算，太阳能热水系统按76.39元/平方米计算，中水系统按收购住宅的总建筑面积计算收购价，太阳能热水系统按收购住宅的能覆盖太阳能热水服务的房屋建筑面积计算，覆盖太阳能热水服务的房屋建筑面积如有详细图纸则按图纸计算，未有详细图纸则以住宅每栋屋顶层往下计共12层的总建筑面积。</w:t>
      </w:r>
    </w:p>
    <w:p>
      <w:pPr>
        <w:snapToGrid w:val="0"/>
        <w:spacing w:line="320" w:lineRule="exact"/>
        <w:ind w:firstLine="420" w:firstLineChars="200"/>
        <w:rPr>
          <w:rFonts w:hint="eastAsia" w:ascii="楷体_GB2312" w:hAnsi="宋体" w:eastAsia="楷体_GB2312" w:cs="宋体"/>
          <w:szCs w:val="21"/>
        </w:rPr>
      </w:pPr>
    </w:p>
    <w:p>
      <w:pPr>
        <w:snapToGrid w:val="0"/>
        <w:spacing w:line="320" w:lineRule="exact"/>
        <w:ind w:firstLine="420" w:firstLineChars="200"/>
        <w:rPr>
          <w:rFonts w:hint="eastAsia" w:ascii="楷体_GB2312" w:hAnsi="宋体" w:eastAsia="楷体_GB2312" w:cs="宋体"/>
          <w:szCs w:val="21"/>
        </w:rPr>
      </w:pPr>
    </w:p>
    <w:p>
      <w:pPr>
        <w:autoSpaceDN w:val="0"/>
        <w:spacing w:line="320" w:lineRule="exact"/>
        <w:rPr>
          <w:rFonts w:ascii="宋体" w:hAnsi="宋体"/>
          <w:szCs w:val="21"/>
        </w:rPr>
      </w:pPr>
    </w:p>
    <w:p>
      <w:pPr>
        <w:snapToGrid w:val="0"/>
        <w:spacing w:after="156" w:afterLines="50" w:line="0" w:lineRule="atLeast"/>
        <w:jc w:val="center"/>
        <w:rPr>
          <w:rFonts w:ascii="宋体" w:hAnsi="宋体"/>
          <w:sz w:val="36"/>
          <w:szCs w:val="36"/>
        </w:rPr>
      </w:pPr>
      <w:r>
        <w:rPr>
          <w:rFonts w:hint="eastAsia" w:ascii="宋体" w:hAnsi="宋体"/>
          <w:sz w:val="36"/>
          <w:szCs w:val="36"/>
        </w:rPr>
        <w:t>表1-2  其他费用计算表</w:t>
      </w:r>
    </w:p>
    <w:tbl>
      <w:tblPr>
        <w:tblStyle w:val="4"/>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15"/>
        <w:gridCol w:w="2704"/>
        <w:gridCol w:w="23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15"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3719" w:type="dxa"/>
            <w:gridSpan w:val="2"/>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分档计费</w:t>
            </w:r>
          </w:p>
        </w:tc>
        <w:tc>
          <w:tcPr>
            <w:tcW w:w="2340"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费用单价（元/平方米）</w:t>
            </w:r>
          </w:p>
        </w:tc>
        <w:tc>
          <w:tcPr>
            <w:tcW w:w="1934"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包含项目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restart"/>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其他费用</w:t>
            </w:r>
          </w:p>
        </w:tc>
        <w:tc>
          <w:tcPr>
            <w:tcW w:w="1015" w:type="dxa"/>
            <w:vMerge w:val="restart"/>
            <w:shd w:val="clear" w:color="auto" w:fill="auto"/>
            <w:vAlign w:val="center"/>
          </w:tcPr>
          <w:p>
            <w:pPr>
              <w:snapToGrid w:val="0"/>
              <w:spacing w:line="260" w:lineRule="exact"/>
              <w:ind w:left="-42" w:leftChars="-20" w:right="-42" w:rightChars="-20"/>
              <w:rPr>
                <w:rFonts w:ascii="宋体" w:hAnsi="宋体" w:cs="宋体"/>
                <w:color w:val="000000"/>
                <w:szCs w:val="21"/>
              </w:rPr>
            </w:pPr>
            <w:r>
              <w:rPr>
                <w:rFonts w:hint="eastAsia" w:ascii="宋体" w:hAnsi="宋体" w:cs="宋体"/>
                <w:color w:val="000000"/>
                <w:szCs w:val="21"/>
              </w:rPr>
              <w:t>宗地计容积率总建筑面积</w:t>
            </w:r>
          </w:p>
        </w:tc>
        <w:tc>
          <w:tcPr>
            <w:tcW w:w="2704" w:type="dxa"/>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10000平方米</w:t>
            </w:r>
          </w:p>
        </w:tc>
        <w:tc>
          <w:tcPr>
            <w:tcW w:w="2340" w:type="dxa"/>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99</w:t>
            </w:r>
          </w:p>
        </w:tc>
        <w:tc>
          <w:tcPr>
            <w:tcW w:w="1934" w:type="dxa"/>
            <w:vMerge w:val="restart"/>
            <w:shd w:val="clear" w:color="auto" w:fill="auto"/>
            <w:vAlign w:val="center"/>
          </w:tcPr>
          <w:p>
            <w:pPr>
              <w:snapToGrid w:val="0"/>
              <w:spacing w:line="260" w:lineRule="exact"/>
              <w:ind w:left="-42" w:leftChars="-20" w:right="-42" w:rightChars="-20"/>
              <w:rPr>
                <w:rFonts w:ascii="宋体" w:hAnsi="宋体" w:cs="宋体"/>
                <w:color w:val="000000"/>
                <w:szCs w:val="21"/>
              </w:rPr>
            </w:pPr>
            <w:r>
              <w:rPr>
                <w:rFonts w:hint="eastAsia" w:ascii="宋体" w:hAnsi="宋体" w:cs="宋体"/>
                <w:color w:val="000000"/>
                <w:szCs w:val="21"/>
              </w:rPr>
              <w:t>监理费、白蚁防治费等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5" w:type="dxa"/>
            <w:vMerge w:val="continue"/>
            <w:shd w:val="clear" w:color="auto" w:fill="auto"/>
            <w:vAlign w:val="center"/>
          </w:tcPr>
          <w:p>
            <w:pPr>
              <w:snapToGrid w:val="0"/>
              <w:spacing w:line="260" w:lineRule="exact"/>
              <w:rPr>
                <w:rFonts w:ascii="宋体" w:hAnsi="宋体" w:cs="宋体"/>
                <w:color w:val="000000"/>
                <w:szCs w:val="21"/>
              </w:rPr>
            </w:pPr>
          </w:p>
        </w:tc>
        <w:tc>
          <w:tcPr>
            <w:tcW w:w="270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16600平方米</w:t>
            </w:r>
          </w:p>
        </w:tc>
        <w:tc>
          <w:tcPr>
            <w:tcW w:w="2340"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93</w:t>
            </w:r>
          </w:p>
        </w:tc>
        <w:tc>
          <w:tcPr>
            <w:tcW w:w="1934" w:type="dxa"/>
            <w:vMerge w:val="continue"/>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5" w:type="dxa"/>
            <w:vMerge w:val="continue"/>
            <w:shd w:val="clear" w:color="auto" w:fill="auto"/>
            <w:vAlign w:val="center"/>
          </w:tcPr>
          <w:p>
            <w:pPr>
              <w:snapToGrid w:val="0"/>
              <w:spacing w:line="260" w:lineRule="exact"/>
              <w:rPr>
                <w:rFonts w:ascii="宋体" w:hAnsi="宋体" w:cs="宋体"/>
                <w:color w:val="000000"/>
                <w:szCs w:val="21"/>
              </w:rPr>
            </w:pPr>
          </w:p>
        </w:tc>
        <w:tc>
          <w:tcPr>
            <w:tcW w:w="270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33300平方米</w:t>
            </w:r>
          </w:p>
        </w:tc>
        <w:tc>
          <w:tcPr>
            <w:tcW w:w="2340"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84</w:t>
            </w:r>
          </w:p>
        </w:tc>
        <w:tc>
          <w:tcPr>
            <w:tcW w:w="1934" w:type="dxa"/>
            <w:vMerge w:val="continue"/>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continue"/>
            <w:tcBorders>
              <w:bottom w:val="single" w:color="auto" w:sz="4" w:space="0"/>
            </w:tcBorders>
            <w:shd w:val="clear" w:color="auto" w:fill="auto"/>
            <w:vAlign w:val="center"/>
          </w:tcPr>
          <w:p>
            <w:pPr>
              <w:snapToGrid w:val="0"/>
              <w:spacing w:line="260" w:lineRule="exact"/>
              <w:jc w:val="center"/>
              <w:rPr>
                <w:rFonts w:ascii="宋体" w:hAnsi="宋体" w:cs="宋体"/>
                <w:color w:val="000000"/>
                <w:szCs w:val="21"/>
              </w:rPr>
            </w:pPr>
          </w:p>
        </w:tc>
        <w:tc>
          <w:tcPr>
            <w:tcW w:w="1015" w:type="dxa"/>
            <w:vMerge w:val="continue"/>
            <w:tcBorders>
              <w:bottom w:val="single" w:color="auto" w:sz="4" w:space="0"/>
            </w:tcBorders>
            <w:shd w:val="clear" w:color="auto" w:fill="auto"/>
            <w:vAlign w:val="center"/>
          </w:tcPr>
          <w:p>
            <w:pPr>
              <w:snapToGrid w:val="0"/>
              <w:spacing w:line="260" w:lineRule="exact"/>
              <w:rPr>
                <w:rFonts w:ascii="宋体" w:hAnsi="宋体" w:cs="宋体"/>
                <w:color w:val="000000"/>
                <w:szCs w:val="21"/>
              </w:rPr>
            </w:pPr>
          </w:p>
        </w:tc>
        <w:tc>
          <w:tcPr>
            <w:tcW w:w="2704" w:type="dxa"/>
            <w:tcBorders>
              <w:bottom w:val="single" w:color="auto" w:sz="4" w:space="0"/>
            </w:tcBorders>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100000平方米</w:t>
            </w:r>
          </w:p>
        </w:tc>
        <w:tc>
          <w:tcPr>
            <w:tcW w:w="2340" w:type="dxa"/>
            <w:tcBorders>
              <w:bottom w:val="single" w:color="auto" w:sz="4" w:space="0"/>
            </w:tcBorders>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75</w:t>
            </w:r>
          </w:p>
        </w:tc>
        <w:tc>
          <w:tcPr>
            <w:tcW w:w="1934" w:type="dxa"/>
            <w:vMerge w:val="continue"/>
            <w:tcBorders>
              <w:bottom w:val="single" w:color="auto" w:sz="4" w:space="0"/>
            </w:tcBorders>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5" w:type="dxa"/>
            <w:vMerge w:val="continue"/>
            <w:shd w:val="clear" w:color="auto" w:fill="auto"/>
            <w:vAlign w:val="center"/>
          </w:tcPr>
          <w:p>
            <w:pPr>
              <w:snapToGrid w:val="0"/>
              <w:spacing w:line="260" w:lineRule="exact"/>
              <w:rPr>
                <w:rFonts w:ascii="宋体" w:hAnsi="宋体" w:cs="宋体"/>
                <w:color w:val="000000"/>
                <w:szCs w:val="21"/>
              </w:rPr>
            </w:pPr>
          </w:p>
        </w:tc>
        <w:tc>
          <w:tcPr>
            <w:tcW w:w="270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166600平方米</w:t>
            </w:r>
          </w:p>
        </w:tc>
        <w:tc>
          <w:tcPr>
            <w:tcW w:w="2340"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75</w:t>
            </w:r>
          </w:p>
        </w:tc>
        <w:tc>
          <w:tcPr>
            <w:tcW w:w="1934" w:type="dxa"/>
            <w:vMerge w:val="continue"/>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5"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5" w:type="dxa"/>
            <w:vMerge w:val="continue"/>
            <w:shd w:val="clear" w:color="auto" w:fill="auto"/>
            <w:vAlign w:val="center"/>
          </w:tcPr>
          <w:p>
            <w:pPr>
              <w:snapToGrid w:val="0"/>
              <w:spacing w:line="260" w:lineRule="exact"/>
              <w:rPr>
                <w:rFonts w:ascii="宋体" w:hAnsi="宋体" w:cs="宋体"/>
                <w:color w:val="000000"/>
                <w:szCs w:val="21"/>
              </w:rPr>
            </w:pPr>
          </w:p>
        </w:tc>
        <w:tc>
          <w:tcPr>
            <w:tcW w:w="270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333300平方米</w:t>
            </w:r>
          </w:p>
        </w:tc>
        <w:tc>
          <w:tcPr>
            <w:tcW w:w="2340"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54</w:t>
            </w:r>
          </w:p>
        </w:tc>
        <w:tc>
          <w:tcPr>
            <w:tcW w:w="1934" w:type="dxa"/>
            <w:vMerge w:val="continue"/>
            <w:shd w:val="clear" w:color="auto" w:fill="auto"/>
            <w:vAlign w:val="center"/>
          </w:tcPr>
          <w:p>
            <w:pPr>
              <w:snapToGrid w:val="0"/>
              <w:spacing w:line="260" w:lineRule="exact"/>
              <w:jc w:val="center"/>
              <w:rPr>
                <w:rFonts w:ascii="宋体" w:hAnsi="宋体" w:cs="宋体"/>
                <w:color w:val="000000"/>
                <w:szCs w:val="21"/>
              </w:rPr>
            </w:pPr>
          </w:p>
        </w:tc>
      </w:tr>
    </w:tbl>
    <w:p>
      <w:pPr>
        <w:snapToGrid w:val="0"/>
        <w:spacing w:line="320" w:lineRule="exact"/>
        <w:rPr>
          <w:rFonts w:ascii="宋体" w:hAnsi="宋体"/>
          <w:bCs/>
          <w:sz w:val="24"/>
          <w:szCs w:val="24"/>
        </w:rPr>
      </w:pPr>
    </w:p>
    <w:p>
      <w:pPr>
        <w:autoSpaceDN w:val="0"/>
        <w:spacing w:line="320" w:lineRule="exact"/>
        <w:rPr>
          <w:rFonts w:hint="eastAsia" w:ascii="宋体" w:hAnsi="宋体"/>
          <w:bCs/>
          <w:sz w:val="24"/>
          <w:szCs w:val="24"/>
        </w:rPr>
      </w:pPr>
    </w:p>
    <w:p>
      <w:pPr>
        <w:autoSpaceDN w:val="0"/>
        <w:spacing w:line="320" w:lineRule="exact"/>
        <w:rPr>
          <w:rFonts w:hint="eastAsia" w:ascii="宋体" w:hAnsi="宋体"/>
          <w:b/>
          <w:sz w:val="24"/>
          <w:szCs w:val="24"/>
        </w:rPr>
      </w:pPr>
    </w:p>
    <w:p>
      <w:pPr>
        <w:snapToGrid w:val="0"/>
        <w:spacing w:line="0" w:lineRule="atLeast"/>
        <w:jc w:val="center"/>
        <w:rPr>
          <w:rFonts w:ascii="宋体" w:hAnsi="宋体"/>
          <w:sz w:val="36"/>
          <w:szCs w:val="36"/>
        </w:rPr>
      </w:pPr>
      <w:r>
        <w:rPr>
          <w:rFonts w:hint="eastAsia" w:ascii="宋体" w:hAnsi="宋体"/>
          <w:sz w:val="36"/>
          <w:szCs w:val="36"/>
        </w:rPr>
        <w:t>Ⅱ  管理费计算方式</w:t>
      </w:r>
    </w:p>
    <w:p>
      <w:pPr>
        <w:autoSpaceDN w:val="0"/>
        <w:spacing w:before="156" w:beforeLines="50" w:after="156" w:afterLines="50" w:line="400" w:lineRule="atLeast"/>
        <w:ind w:firstLine="480" w:firstLineChars="200"/>
        <w:rPr>
          <w:rFonts w:ascii="宋体" w:hAnsi="宋体"/>
          <w:b/>
          <w:sz w:val="24"/>
          <w:szCs w:val="24"/>
        </w:rPr>
      </w:pPr>
      <w:r>
        <w:rPr>
          <w:rFonts w:hint="eastAsia" w:ascii="宋体" w:hAnsi="宋体" w:cs="宋体"/>
          <w:sz w:val="24"/>
          <w:szCs w:val="24"/>
        </w:rPr>
        <w:t>依据收购房屋所在宗地的建设规模选择对应的单价。</w:t>
      </w: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16"/>
        <w:gridCol w:w="2676"/>
        <w:gridCol w:w="236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27"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3692" w:type="dxa"/>
            <w:gridSpan w:val="2"/>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分档计费</w:t>
            </w:r>
          </w:p>
        </w:tc>
        <w:tc>
          <w:tcPr>
            <w:tcW w:w="2364"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费用单价（元/平方米）</w:t>
            </w:r>
          </w:p>
        </w:tc>
        <w:tc>
          <w:tcPr>
            <w:tcW w:w="1942" w:type="dxa"/>
            <w:shd w:val="clear" w:color="auto" w:fill="auto"/>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取费依据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7" w:type="dxa"/>
            <w:vMerge w:val="restart"/>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管理费</w:t>
            </w:r>
          </w:p>
        </w:tc>
        <w:tc>
          <w:tcPr>
            <w:tcW w:w="1016" w:type="dxa"/>
            <w:vMerge w:val="restart"/>
            <w:shd w:val="clear" w:color="auto" w:fill="auto"/>
            <w:vAlign w:val="center"/>
          </w:tcPr>
          <w:p>
            <w:pPr>
              <w:snapToGrid w:val="0"/>
              <w:spacing w:line="260" w:lineRule="exact"/>
              <w:ind w:left="-42" w:leftChars="-20" w:right="-42" w:rightChars="-20"/>
              <w:rPr>
                <w:rFonts w:ascii="宋体" w:hAnsi="宋体" w:cs="宋体"/>
                <w:color w:val="000000"/>
                <w:szCs w:val="21"/>
              </w:rPr>
            </w:pPr>
            <w:r>
              <w:rPr>
                <w:rFonts w:hint="eastAsia" w:ascii="宋体" w:hAnsi="宋体" w:cs="宋体"/>
                <w:color w:val="000000"/>
                <w:szCs w:val="21"/>
              </w:rPr>
              <w:t>宗地计容积率总建筑面积</w:t>
            </w:r>
          </w:p>
        </w:tc>
        <w:tc>
          <w:tcPr>
            <w:tcW w:w="2676" w:type="dxa"/>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15001—30000平方米</w:t>
            </w:r>
          </w:p>
        </w:tc>
        <w:tc>
          <w:tcPr>
            <w:tcW w:w="2364" w:type="dxa"/>
            <w:shd w:val="clear" w:color="auto" w:fill="auto"/>
            <w:vAlign w:val="center"/>
          </w:tcPr>
          <w:p>
            <w:pPr>
              <w:snapToGrid w:val="0"/>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44—40</w:t>
            </w:r>
          </w:p>
        </w:tc>
        <w:tc>
          <w:tcPr>
            <w:tcW w:w="1942" w:type="dxa"/>
            <w:vMerge w:val="restart"/>
            <w:shd w:val="clear" w:color="auto" w:fill="auto"/>
            <w:vAlign w:val="center"/>
          </w:tcPr>
          <w:p>
            <w:pPr>
              <w:snapToGrid w:val="0"/>
              <w:spacing w:line="260" w:lineRule="exact"/>
              <w:ind w:left="-42" w:leftChars="-20" w:right="-42" w:rightChars="-20"/>
              <w:rPr>
                <w:rFonts w:ascii="宋体" w:hAnsi="宋体" w:cs="宋体"/>
                <w:color w:val="000000"/>
                <w:szCs w:val="21"/>
              </w:rPr>
            </w:pPr>
            <w:r>
              <w:rPr>
                <w:rFonts w:hint="eastAsia" w:ascii="宋体" w:hAnsi="宋体" w:cs="宋体"/>
                <w:color w:val="000000"/>
                <w:szCs w:val="21"/>
              </w:rPr>
              <w:t>深财基</w:t>
            </w:r>
            <w:r>
              <w:rPr>
                <w:rFonts w:hint="eastAsia" w:ascii="宋体" w:hAnsi="宋体"/>
                <w:szCs w:val="21"/>
              </w:rPr>
              <w:t>〔2003〕</w:t>
            </w:r>
            <w:r>
              <w:rPr>
                <w:rFonts w:hint="eastAsia" w:ascii="宋体" w:hAnsi="宋体" w:cs="宋体"/>
                <w:color w:val="000000"/>
                <w:szCs w:val="21"/>
              </w:rPr>
              <w:t>2号</w:t>
            </w:r>
            <w:r>
              <w:rPr>
                <w:rFonts w:hint="eastAsia" w:ascii="宋体" w:hAnsi="宋体"/>
                <w:bCs/>
                <w:szCs w:val="21"/>
              </w:rPr>
              <w:t>每档计费对应的单价用插值法计算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7"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6"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2676"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30001—150000平方米</w:t>
            </w:r>
          </w:p>
        </w:tc>
        <w:tc>
          <w:tcPr>
            <w:tcW w:w="236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40—30</w:t>
            </w:r>
          </w:p>
        </w:tc>
        <w:tc>
          <w:tcPr>
            <w:tcW w:w="1942" w:type="dxa"/>
            <w:vMerge w:val="continue"/>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7"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6"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2676"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150001—300000平方米</w:t>
            </w:r>
          </w:p>
        </w:tc>
        <w:tc>
          <w:tcPr>
            <w:tcW w:w="236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30—24</w:t>
            </w:r>
          </w:p>
        </w:tc>
        <w:tc>
          <w:tcPr>
            <w:tcW w:w="1942" w:type="dxa"/>
            <w:vMerge w:val="continue"/>
            <w:shd w:val="clear" w:color="auto" w:fill="auto"/>
            <w:vAlign w:val="center"/>
          </w:tcPr>
          <w:p>
            <w:pPr>
              <w:snapToGrid w:val="0"/>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7"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1016" w:type="dxa"/>
            <w:vMerge w:val="continue"/>
            <w:shd w:val="clear" w:color="auto" w:fill="auto"/>
            <w:vAlign w:val="center"/>
          </w:tcPr>
          <w:p>
            <w:pPr>
              <w:snapToGrid w:val="0"/>
              <w:spacing w:line="260" w:lineRule="exact"/>
              <w:jc w:val="center"/>
              <w:rPr>
                <w:rFonts w:ascii="宋体" w:hAnsi="宋体" w:cs="宋体"/>
                <w:color w:val="000000"/>
                <w:szCs w:val="21"/>
              </w:rPr>
            </w:pPr>
          </w:p>
        </w:tc>
        <w:tc>
          <w:tcPr>
            <w:tcW w:w="2676"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300001—600000平方米</w:t>
            </w:r>
          </w:p>
        </w:tc>
        <w:tc>
          <w:tcPr>
            <w:tcW w:w="2364" w:type="dxa"/>
            <w:shd w:val="clear" w:color="auto" w:fill="auto"/>
            <w:vAlign w:val="center"/>
          </w:tcPr>
          <w:p>
            <w:pPr>
              <w:snapToGrid w:val="0"/>
              <w:spacing w:line="260" w:lineRule="exact"/>
              <w:jc w:val="center"/>
              <w:rPr>
                <w:rFonts w:ascii="宋体" w:hAnsi="宋体" w:cs="宋体"/>
                <w:color w:val="000000"/>
                <w:szCs w:val="21"/>
              </w:rPr>
            </w:pPr>
            <w:r>
              <w:rPr>
                <w:rFonts w:hint="eastAsia" w:ascii="宋体" w:hAnsi="宋体" w:cs="宋体"/>
                <w:color w:val="000000"/>
                <w:szCs w:val="21"/>
              </w:rPr>
              <w:t>24—15</w:t>
            </w:r>
          </w:p>
        </w:tc>
        <w:tc>
          <w:tcPr>
            <w:tcW w:w="1942" w:type="dxa"/>
            <w:vMerge w:val="continue"/>
            <w:shd w:val="clear" w:color="auto" w:fill="auto"/>
            <w:vAlign w:val="center"/>
          </w:tcPr>
          <w:p>
            <w:pPr>
              <w:snapToGrid w:val="0"/>
              <w:spacing w:line="260" w:lineRule="exact"/>
              <w:jc w:val="center"/>
              <w:rPr>
                <w:rFonts w:ascii="宋体" w:hAnsi="宋体" w:cs="宋体"/>
                <w:color w:val="000000"/>
                <w:szCs w:val="21"/>
              </w:rPr>
            </w:pPr>
          </w:p>
        </w:tc>
      </w:tr>
    </w:tbl>
    <w:p>
      <w:pPr>
        <w:snapToGrid w:val="0"/>
        <w:spacing w:after="156" w:afterLines="50" w:line="0" w:lineRule="atLeast"/>
        <w:jc w:val="center"/>
        <w:rPr>
          <w:rFonts w:ascii="宋体" w:hAnsi="宋体"/>
          <w:sz w:val="36"/>
          <w:szCs w:val="36"/>
        </w:rPr>
      </w:pPr>
      <w:r>
        <w:rPr>
          <w:rFonts w:hint="eastAsia" w:ascii="宋体" w:hAnsi="宋体"/>
          <w:sz w:val="36"/>
          <w:szCs w:val="36"/>
        </w:rPr>
        <w:t>Ⅲ  规费计算方式</w:t>
      </w:r>
    </w:p>
    <w:tbl>
      <w:tblPr>
        <w:tblStyle w:val="4"/>
        <w:tblW w:w="9025" w:type="dxa"/>
        <w:jc w:val="center"/>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080"/>
        <w:gridCol w:w="1260"/>
        <w:gridCol w:w="1080"/>
        <w:gridCol w:w="3562"/>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2043" w:type="dxa"/>
            <w:shd w:val="clear" w:color="auto" w:fill="auto"/>
            <w:vAlign w:val="center"/>
          </w:tcPr>
          <w:p>
            <w:pPr>
              <w:snapToGrid w:val="0"/>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1080" w:type="dxa"/>
            <w:shd w:val="clear" w:color="auto" w:fill="auto"/>
            <w:vAlign w:val="center"/>
          </w:tcPr>
          <w:p>
            <w:pPr>
              <w:snapToGrid w:val="0"/>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计算公式</w:t>
            </w:r>
          </w:p>
        </w:tc>
        <w:tc>
          <w:tcPr>
            <w:tcW w:w="1260" w:type="dxa"/>
            <w:shd w:val="clear" w:color="auto" w:fill="auto"/>
            <w:vAlign w:val="center"/>
          </w:tcPr>
          <w:p>
            <w:pPr>
              <w:snapToGrid w:val="0"/>
              <w:spacing w:line="260" w:lineRule="exact"/>
              <w:ind w:left="-30" w:right="-63" w:rightChars="-30"/>
              <w:jc w:val="center"/>
              <w:rPr>
                <w:rFonts w:hint="eastAsia" w:ascii="黑体" w:hAnsi="宋体" w:eastAsia="黑体" w:cs="宋体"/>
                <w:color w:val="000000"/>
                <w:szCs w:val="21"/>
              </w:rPr>
            </w:pPr>
            <w:r>
              <w:rPr>
                <w:rFonts w:hint="eastAsia" w:ascii="黑体" w:hAnsi="宋体" w:eastAsia="黑体" w:cs="宋体"/>
                <w:color w:val="000000"/>
                <w:kern w:val="21"/>
                <w:szCs w:val="21"/>
              </w:rPr>
              <w:t>计费单位</w:t>
            </w:r>
          </w:p>
        </w:tc>
        <w:tc>
          <w:tcPr>
            <w:tcW w:w="1080" w:type="dxa"/>
            <w:shd w:val="clear" w:color="auto" w:fill="auto"/>
            <w:vAlign w:val="center"/>
          </w:tcPr>
          <w:p>
            <w:pPr>
              <w:snapToGrid w:val="0"/>
              <w:spacing w:line="260" w:lineRule="exact"/>
              <w:ind w:left="-30" w:right="-63" w:rightChars="-30"/>
              <w:jc w:val="center"/>
              <w:rPr>
                <w:rFonts w:hint="eastAsia" w:ascii="黑体" w:hAnsi="宋体" w:eastAsia="黑体" w:cs="宋体"/>
                <w:color w:val="000000"/>
                <w:szCs w:val="21"/>
              </w:rPr>
            </w:pPr>
            <w:r>
              <w:rPr>
                <w:rFonts w:hint="eastAsia" w:ascii="黑体" w:hAnsi="宋体" w:eastAsia="黑体" w:cs="宋体"/>
                <w:color w:val="000000"/>
                <w:kern w:val="21"/>
                <w:szCs w:val="21"/>
              </w:rPr>
              <w:t>费用单价</w:t>
            </w:r>
          </w:p>
        </w:tc>
        <w:tc>
          <w:tcPr>
            <w:tcW w:w="3562" w:type="dxa"/>
            <w:shd w:val="clear" w:color="auto" w:fill="auto"/>
            <w:vAlign w:val="center"/>
          </w:tcPr>
          <w:p>
            <w:pPr>
              <w:snapToGrid w:val="0"/>
              <w:spacing w:line="26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kern w:val="21"/>
                <w:szCs w:val="21"/>
              </w:rPr>
              <w:t>取费依据</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2043" w:type="dxa"/>
            <w:shd w:val="clear" w:color="auto" w:fill="auto"/>
            <w:vAlign w:val="center"/>
          </w:tcPr>
          <w:p>
            <w:pPr>
              <w:spacing w:line="300" w:lineRule="exact"/>
              <w:ind w:left="-63" w:leftChars="-30" w:right="-63" w:rightChars="-30"/>
              <w:rPr>
                <w:rFonts w:ascii="宋体" w:hAnsi="宋体" w:cs="宋体"/>
                <w:color w:val="000000"/>
                <w:kern w:val="21"/>
                <w:szCs w:val="21"/>
              </w:rPr>
            </w:pPr>
            <w:r>
              <w:rPr>
                <w:rFonts w:hint="eastAsia" w:ascii="宋体" w:hAnsi="宋体" w:cs="宋体"/>
                <w:color w:val="000000"/>
                <w:kern w:val="21"/>
                <w:szCs w:val="21"/>
              </w:rPr>
              <w:t>规费（包括：物业专项维修资金、建筑面积及预售面积以及竣工面积测绘等）</w:t>
            </w:r>
          </w:p>
        </w:tc>
        <w:tc>
          <w:tcPr>
            <w:tcW w:w="1080" w:type="dxa"/>
            <w:shd w:val="clear" w:color="auto" w:fill="auto"/>
            <w:vAlign w:val="center"/>
          </w:tcPr>
          <w:p>
            <w:pPr>
              <w:spacing w:line="300" w:lineRule="exact"/>
              <w:ind w:left="-63" w:leftChars="-30" w:right="-63" w:rightChars="-30"/>
              <w:jc w:val="center"/>
              <w:rPr>
                <w:rFonts w:hint="eastAsia" w:ascii="宋体" w:hAnsi="宋体" w:cs="宋体"/>
                <w:color w:val="000000"/>
                <w:kern w:val="21"/>
                <w:szCs w:val="21"/>
              </w:rPr>
            </w:pPr>
            <w:r>
              <w:rPr>
                <w:rFonts w:hint="eastAsia" w:ascii="宋体" w:hAnsi="宋体" w:cs="宋体"/>
                <w:color w:val="000000"/>
                <w:kern w:val="21"/>
                <w:szCs w:val="21"/>
              </w:rPr>
              <w:t>直接套用</w:t>
            </w:r>
          </w:p>
          <w:p>
            <w:pPr>
              <w:spacing w:line="300" w:lineRule="exact"/>
              <w:ind w:left="-63" w:leftChars="-30" w:right="-63" w:rightChars="-30"/>
              <w:jc w:val="center"/>
              <w:rPr>
                <w:rFonts w:ascii="宋体" w:hAnsi="宋体" w:cs="宋体"/>
                <w:color w:val="000000"/>
                <w:kern w:val="21"/>
                <w:szCs w:val="21"/>
              </w:rPr>
            </w:pPr>
            <w:r>
              <w:rPr>
                <w:rFonts w:hint="eastAsia" w:ascii="宋体" w:hAnsi="宋体" w:cs="宋体"/>
                <w:color w:val="000000"/>
                <w:kern w:val="21"/>
                <w:szCs w:val="21"/>
              </w:rPr>
              <w:t>费用单价</w:t>
            </w:r>
          </w:p>
        </w:tc>
        <w:tc>
          <w:tcPr>
            <w:tcW w:w="1260" w:type="dxa"/>
            <w:shd w:val="clear" w:color="auto" w:fill="auto"/>
            <w:vAlign w:val="center"/>
          </w:tcPr>
          <w:p>
            <w:pPr>
              <w:spacing w:line="300" w:lineRule="exact"/>
              <w:ind w:left="-63" w:leftChars="-30" w:right="-63" w:rightChars="-30"/>
              <w:rPr>
                <w:rFonts w:ascii="宋体" w:hAnsi="宋体" w:cs="宋体"/>
                <w:color w:val="000000"/>
                <w:kern w:val="21"/>
                <w:szCs w:val="21"/>
              </w:rPr>
            </w:pPr>
            <w:r>
              <w:rPr>
                <w:rFonts w:hint="eastAsia" w:ascii="宋体" w:hAnsi="宋体" w:cs="宋体"/>
                <w:kern w:val="21"/>
                <w:szCs w:val="21"/>
              </w:rPr>
              <w:t>元/平方米住宅建筑面积</w:t>
            </w:r>
          </w:p>
        </w:tc>
        <w:tc>
          <w:tcPr>
            <w:tcW w:w="1080" w:type="dxa"/>
            <w:shd w:val="clear" w:color="auto" w:fill="auto"/>
            <w:vAlign w:val="center"/>
          </w:tcPr>
          <w:p>
            <w:pPr>
              <w:spacing w:line="300" w:lineRule="exact"/>
              <w:ind w:left="-63" w:leftChars="-30" w:right="-63" w:rightChars="-30"/>
              <w:jc w:val="center"/>
              <w:rPr>
                <w:rFonts w:ascii="宋体" w:hAnsi="宋体" w:cs="宋体"/>
                <w:color w:val="000000"/>
                <w:kern w:val="21"/>
                <w:szCs w:val="21"/>
              </w:rPr>
            </w:pPr>
            <w:r>
              <w:rPr>
                <w:rFonts w:hint="eastAsia" w:ascii="宋体" w:hAnsi="宋体" w:cs="宋体"/>
                <w:color w:val="000000"/>
                <w:kern w:val="21"/>
                <w:szCs w:val="21"/>
              </w:rPr>
              <w:t>57</w:t>
            </w:r>
          </w:p>
        </w:tc>
        <w:tc>
          <w:tcPr>
            <w:tcW w:w="3562" w:type="dxa"/>
            <w:shd w:val="clear" w:color="auto" w:fill="auto"/>
            <w:vAlign w:val="center"/>
          </w:tcPr>
          <w:p>
            <w:pPr>
              <w:spacing w:line="300" w:lineRule="exact"/>
              <w:ind w:left="-63" w:leftChars="-30" w:right="-63" w:rightChars="-30"/>
              <w:rPr>
                <w:rFonts w:ascii="宋体" w:hAnsi="宋体"/>
                <w:bCs/>
                <w:color w:val="000000"/>
                <w:kern w:val="21"/>
                <w:szCs w:val="21"/>
              </w:rPr>
            </w:pPr>
            <w:r>
              <w:rPr>
                <w:rFonts w:hint="eastAsia" w:ascii="宋体" w:hAnsi="宋体"/>
                <w:bCs/>
                <w:color w:val="000000"/>
                <w:kern w:val="21"/>
                <w:szCs w:val="21"/>
              </w:rPr>
              <w:t>深建规</w:t>
            </w:r>
            <w:r>
              <w:rPr>
                <w:rFonts w:hint="eastAsia" w:ascii="宋体" w:hAnsi="宋体"/>
                <w:kern w:val="21"/>
                <w:szCs w:val="21"/>
              </w:rPr>
              <w:t>〔2010〕</w:t>
            </w:r>
            <w:r>
              <w:rPr>
                <w:rFonts w:hint="eastAsia" w:ascii="宋体" w:hAnsi="宋体"/>
                <w:bCs/>
                <w:color w:val="000000"/>
                <w:kern w:val="21"/>
                <w:szCs w:val="21"/>
              </w:rPr>
              <w:t>14号、</w:t>
            </w:r>
            <w:r>
              <w:rPr>
                <w:rFonts w:hint="eastAsia" w:ascii="宋体" w:hAnsi="宋体" w:cs="宋体"/>
                <w:kern w:val="21"/>
                <w:szCs w:val="21"/>
              </w:rPr>
              <w:t>《关于制定我省房地产测绘收费标准的复函》（粤价</w:t>
            </w:r>
            <w:r>
              <w:rPr>
                <w:rFonts w:hint="eastAsia" w:ascii="宋体" w:hAnsi="宋体"/>
                <w:kern w:val="21"/>
                <w:szCs w:val="21"/>
              </w:rPr>
              <w:t>〔2007〕</w:t>
            </w:r>
            <w:r>
              <w:rPr>
                <w:rFonts w:hint="eastAsia" w:ascii="宋体" w:hAnsi="宋体" w:cs="宋体"/>
                <w:kern w:val="21"/>
                <w:szCs w:val="21"/>
              </w:rPr>
              <w:t>193号）、粤价函</w:t>
            </w:r>
            <w:r>
              <w:rPr>
                <w:rFonts w:hint="eastAsia" w:ascii="宋体" w:hAnsi="宋体"/>
                <w:kern w:val="21"/>
                <w:szCs w:val="21"/>
              </w:rPr>
              <w:t>〔1998〕</w:t>
            </w:r>
            <w:r>
              <w:rPr>
                <w:rFonts w:hint="eastAsia" w:ascii="宋体" w:hAnsi="宋体" w:cs="宋体"/>
                <w:kern w:val="21"/>
                <w:szCs w:val="21"/>
              </w:rPr>
              <w:t>548号、深价联字</w:t>
            </w:r>
            <w:r>
              <w:rPr>
                <w:rFonts w:hint="eastAsia" w:ascii="宋体" w:hAnsi="宋体"/>
                <w:kern w:val="21"/>
                <w:szCs w:val="21"/>
              </w:rPr>
              <w:t>〔1994〕</w:t>
            </w:r>
            <w:r>
              <w:rPr>
                <w:rFonts w:hint="eastAsia" w:ascii="宋体" w:hAnsi="宋体" w:cs="宋体"/>
                <w:kern w:val="21"/>
                <w:szCs w:val="21"/>
              </w:rPr>
              <w:t>129号</w:t>
            </w:r>
          </w:p>
        </w:tc>
      </w:tr>
    </w:tbl>
    <w:p>
      <w:pPr>
        <w:snapToGrid w:val="0"/>
        <w:spacing w:line="300" w:lineRule="exact"/>
        <w:rPr>
          <w:rFonts w:hint="eastAsia" w:ascii="宋体" w:hAnsi="宋体"/>
          <w:b/>
          <w:sz w:val="24"/>
          <w:szCs w:val="24"/>
        </w:rPr>
      </w:pPr>
    </w:p>
    <w:p>
      <w:pPr>
        <w:snapToGrid w:val="0"/>
        <w:spacing w:line="300" w:lineRule="exact"/>
        <w:rPr>
          <w:rFonts w:hint="eastAsia" w:ascii="宋体" w:hAnsi="宋体"/>
          <w:b/>
          <w:sz w:val="24"/>
          <w:szCs w:val="24"/>
        </w:rPr>
      </w:pPr>
    </w:p>
    <w:p>
      <w:pPr>
        <w:snapToGrid w:val="0"/>
        <w:spacing w:line="300" w:lineRule="exact"/>
        <w:rPr>
          <w:rFonts w:hint="eastAsia" w:ascii="宋体" w:hAnsi="宋体"/>
          <w:b/>
          <w:sz w:val="24"/>
          <w:szCs w:val="24"/>
        </w:rPr>
      </w:pPr>
    </w:p>
    <w:p>
      <w:pPr>
        <w:snapToGrid w:val="0"/>
        <w:spacing w:after="156" w:afterLines="50" w:line="0" w:lineRule="atLeast"/>
        <w:jc w:val="center"/>
        <w:rPr>
          <w:rFonts w:ascii="宋体" w:hAnsi="宋体"/>
          <w:sz w:val="36"/>
          <w:szCs w:val="36"/>
        </w:rPr>
      </w:pPr>
      <w:r>
        <w:rPr>
          <w:rFonts w:hint="eastAsia" w:ascii="宋体" w:hAnsi="宋体"/>
          <w:sz w:val="36"/>
          <w:szCs w:val="36"/>
        </w:rPr>
        <w:t>Ⅳ  资金成本计算方式</w:t>
      </w:r>
    </w:p>
    <w:tbl>
      <w:tblPr>
        <w:tblStyle w:val="4"/>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29"/>
        <w:gridCol w:w="529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0" w:type="dxa"/>
            <w:vAlign w:val="center"/>
          </w:tcPr>
          <w:p>
            <w:pPr>
              <w:snapToGrid w:val="0"/>
              <w:spacing w:line="260" w:lineRule="exact"/>
              <w:jc w:val="center"/>
              <w:rPr>
                <w:rFonts w:hint="eastAsia" w:ascii="黑体" w:hAnsi="宋体" w:eastAsia="黑体" w:cs="宋体"/>
                <w:color w:val="000000"/>
                <w:szCs w:val="21"/>
              </w:rPr>
            </w:pPr>
            <w:r>
              <w:rPr>
                <w:rFonts w:hint="eastAsia" w:ascii="黑体" w:hAnsi="宋体" w:eastAsia="黑体" w:cs="宋体"/>
                <w:color w:val="000000"/>
                <w:szCs w:val="21"/>
              </w:rPr>
              <w:t>序号</w:t>
            </w:r>
          </w:p>
        </w:tc>
        <w:tc>
          <w:tcPr>
            <w:tcW w:w="1929" w:type="dxa"/>
            <w:vAlign w:val="center"/>
          </w:tcPr>
          <w:p>
            <w:pPr>
              <w:snapToGrid w:val="0"/>
              <w:spacing w:line="26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收购价付款方式</w:t>
            </w:r>
          </w:p>
        </w:tc>
        <w:tc>
          <w:tcPr>
            <w:tcW w:w="5294" w:type="dxa"/>
            <w:vAlign w:val="center"/>
          </w:tcPr>
          <w:p>
            <w:pPr>
              <w:snapToGrid w:val="0"/>
              <w:spacing w:line="260" w:lineRule="exact"/>
              <w:jc w:val="center"/>
              <w:rPr>
                <w:rFonts w:hint="eastAsia" w:ascii="黑体" w:hAnsi="宋体" w:eastAsia="黑体" w:cs="宋体"/>
                <w:color w:val="000000"/>
                <w:szCs w:val="21"/>
              </w:rPr>
            </w:pPr>
            <w:r>
              <w:rPr>
                <w:rFonts w:hint="eastAsia" w:ascii="黑体" w:hAnsi="宋体" w:eastAsia="黑体" w:cs="宋体"/>
                <w:color w:val="000000"/>
                <w:szCs w:val="21"/>
              </w:rPr>
              <w:t>计算规则</w:t>
            </w:r>
          </w:p>
        </w:tc>
        <w:tc>
          <w:tcPr>
            <w:tcW w:w="1253" w:type="dxa"/>
            <w:vAlign w:val="center"/>
          </w:tcPr>
          <w:p>
            <w:pPr>
              <w:snapToGrid w:val="0"/>
              <w:spacing w:line="260" w:lineRule="exact"/>
              <w:jc w:val="center"/>
              <w:rPr>
                <w:rFonts w:hint="eastAsia" w:ascii="黑体" w:hAnsi="宋体" w:eastAsia="黑体" w:cs="宋体"/>
                <w:color w:val="000000"/>
                <w:szCs w:val="21"/>
              </w:rPr>
            </w:pPr>
            <w:r>
              <w:rPr>
                <w:rFonts w:hint="eastAsia" w:ascii="黑体" w:hAnsi="宋体" w:eastAsia="黑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0" w:type="dxa"/>
            <w:vAlign w:val="center"/>
          </w:tcPr>
          <w:p>
            <w:pPr>
              <w:spacing w:line="260" w:lineRule="exact"/>
              <w:jc w:val="center"/>
              <w:rPr>
                <w:rFonts w:ascii="宋体" w:hAnsi="宋体" w:cs="宋体"/>
                <w:color w:val="000000"/>
                <w:szCs w:val="21"/>
              </w:rPr>
            </w:pPr>
            <w:r>
              <w:rPr>
                <w:rFonts w:ascii="宋体" w:hAnsi="宋体" w:cs="宋体"/>
                <w:color w:val="000000"/>
                <w:szCs w:val="21"/>
              </w:rPr>
              <w:t>1</w:t>
            </w:r>
          </w:p>
        </w:tc>
        <w:tc>
          <w:tcPr>
            <w:tcW w:w="1929" w:type="dxa"/>
            <w:vAlign w:val="center"/>
          </w:tcPr>
          <w:p>
            <w:pPr>
              <w:spacing w:line="260" w:lineRule="exact"/>
              <w:ind w:left="-42" w:leftChars="-20" w:right="-42" w:rightChars="-20"/>
              <w:rPr>
                <w:rFonts w:ascii="宋体" w:hAnsi="宋体" w:cs="宋体"/>
                <w:color w:val="000000"/>
                <w:szCs w:val="21"/>
              </w:rPr>
            </w:pPr>
            <w:r>
              <w:rPr>
                <w:rFonts w:hint="eastAsia" w:ascii="宋体" w:hAnsi="宋体" w:cs="宋体"/>
                <w:color w:val="000000"/>
                <w:szCs w:val="21"/>
              </w:rPr>
              <w:t>一次性支付</w:t>
            </w:r>
          </w:p>
        </w:tc>
        <w:tc>
          <w:tcPr>
            <w:tcW w:w="5294" w:type="dxa"/>
            <w:vAlign w:val="center"/>
          </w:tcPr>
          <w:p>
            <w:pPr>
              <w:spacing w:before="312" w:beforeLines="100" w:line="260" w:lineRule="exact"/>
              <w:rPr>
                <w:rFonts w:ascii="宋体" w:hAnsi="宋体" w:cs="宋体"/>
                <w:color w:val="000000"/>
                <w:szCs w:val="21"/>
              </w:rPr>
            </w:pPr>
            <w:r>
              <w:rPr>
                <w:rFonts w:hint="eastAsia" w:ascii="宋体" w:hAnsi="宋体" w:cs="宋体"/>
                <w:color w:val="000000"/>
                <w:szCs w:val="21"/>
              </w:rPr>
              <w:object>
                <v:shape id="_x0000_i1025" o:spt="75" type="#_x0000_t75" style="height:24pt;width:123.7pt;" o:ole="t" filled="f" o:preferrelative="t" stroked="f" coordsize="21600,21600">
                  <v:path/>
                  <v:fill on="f" focussize="0,0"/>
                  <v:stroke on="f"/>
                  <v:imagedata r:id="rId5" o:title=""/>
                  <o:lock v:ext="edit" grouping="f" rotation="f" text="f" aspectratio="t"/>
                  <w10:wrap type="none"/>
                  <w10:anchorlock/>
                </v:shape>
                <o:OLEObject Type="Embed" ProgID="Equation.DSMT4" ShapeID="_x0000_i1025" DrawAspect="Content" ObjectID="_1468075725" r:id="rId4">
                  <o:LockedField>false</o:LockedField>
                </o:OLEObject>
              </w:object>
            </w:r>
          </w:p>
        </w:tc>
        <w:tc>
          <w:tcPr>
            <w:tcW w:w="1253" w:type="dxa"/>
            <w:vMerge w:val="restart"/>
            <w:vAlign w:val="center"/>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40" w:type="dxa"/>
            <w:vAlign w:val="center"/>
          </w:tcPr>
          <w:p>
            <w:pPr>
              <w:spacing w:line="260" w:lineRule="exact"/>
              <w:jc w:val="center"/>
              <w:rPr>
                <w:rFonts w:ascii="宋体" w:hAnsi="宋体" w:cs="宋体"/>
                <w:color w:val="000000"/>
                <w:szCs w:val="21"/>
              </w:rPr>
            </w:pPr>
            <w:r>
              <w:rPr>
                <w:rFonts w:ascii="宋体" w:hAnsi="宋体" w:cs="宋体"/>
                <w:color w:val="000000"/>
                <w:szCs w:val="21"/>
              </w:rPr>
              <w:t>2</w:t>
            </w:r>
          </w:p>
        </w:tc>
        <w:tc>
          <w:tcPr>
            <w:tcW w:w="1929" w:type="dxa"/>
            <w:vAlign w:val="center"/>
          </w:tcPr>
          <w:p>
            <w:pPr>
              <w:spacing w:line="320" w:lineRule="exact"/>
              <w:ind w:left="-42" w:leftChars="-20" w:right="-42" w:rightChars="-20"/>
              <w:rPr>
                <w:rFonts w:ascii="宋体" w:hAnsi="宋体" w:cs="宋体"/>
                <w:color w:val="000000"/>
                <w:szCs w:val="21"/>
              </w:rPr>
            </w:pPr>
            <w:r>
              <w:rPr>
                <w:rFonts w:hint="eastAsia" w:ascii="宋体" w:hAnsi="宋体" w:cs="宋体"/>
                <w:color w:val="000000"/>
                <w:szCs w:val="21"/>
              </w:rPr>
              <w:t>建设期间分期支付收购款项的资金成本计算（扣减提前支付的款项利息）</w:t>
            </w:r>
          </w:p>
        </w:tc>
        <w:tc>
          <w:tcPr>
            <w:tcW w:w="5294" w:type="dxa"/>
            <w:vAlign w:val="center"/>
          </w:tcPr>
          <w:p>
            <w:pPr>
              <w:spacing w:line="260" w:lineRule="exact"/>
              <w:rPr>
                <w:rFonts w:ascii="宋体" w:hAnsi="宋体" w:cs="宋体"/>
                <w:color w:val="000000"/>
                <w:szCs w:val="21"/>
              </w:rPr>
            </w:pPr>
            <w:r>
              <w:rPr>
                <w:rFonts w:hint="eastAsia" w:ascii="宋体" w:hAnsi="宋体" w:cs="宋体"/>
                <w:color w:val="000000"/>
                <w:position w:val="-30"/>
                <w:szCs w:val="21"/>
              </w:rPr>
              <w:object>
                <v:shape id="_x0000_i1026" o:spt="75" type="#_x0000_t75" style="height:36.15pt;width:215.25pt;" o:ole="t" filled="f" o:preferrelative="t" stroked="f" coordsize="21600,21600">
                  <v:path/>
                  <v:fill on="f" focussize="0,0"/>
                  <v:stroke on="f"/>
                  <v:imagedata r:id="rId7" o:title=""/>
                  <o:lock v:ext="edit" grouping="f" rotation="f" text="f" aspectratio="t"/>
                  <w10:wrap type="none"/>
                  <w10:anchorlock/>
                </v:shape>
                <o:OLEObject Type="Embed" ProgID="Equation.DSMT4" ShapeID="_x0000_i1026" DrawAspect="Content" ObjectID="_1468075726" r:id="rId6">
                  <o:LockedField>false</o:LockedField>
                </o:OLEObject>
              </w:object>
            </w:r>
          </w:p>
        </w:tc>
        <w:tc>
          <w:tcPr>
            <w:tcW w:w="1253" w:type="dxa"/>
            <w:vMerge w:val="continue"/>
            <w:vAlign w:val="center"/>
          </w:tcPr>
          <w:p>
            <w:pPr>
              <w:spacing w:line="260" w:lineRule="exact"/>
              <w:rPr>
                <w:rFonts w:ascii="宋体" w:hAnsi="宋体"/>
                <w:szCs w:val="21"/>
              </w:rPr>
            </w:pPr>
          </w:p>
        </w:tc>
      </w:tr>
    </w:tbl>
    <w:p>
      <w:pPr>
        <w:pStyle w:val="2"/>
        <w:spacing w:before="93" w:beforeLines="30" w:line="320" w:lineRule="atLeast"/>
        <w:rPr>
          <w:rFonts w:ascii="楷体_GB2312" w:hAnsi="宋体" w:eastAsia="楷体_GB2312" w:cs="宋体"/>
          <w:szCs w:val="21"/>
        </w:rPr>
      </w:pPr>
      <w:r>
        <w:rPr>
          <w:rFonts w:hint="eastAsia" w:ascii="楷体_GB2312" w:hAnsi="宋体" w:eastAsia="楷体_GB2312" w:cs="宋体"/>
          <w:szCs w:val="21"/>
        </w:rPr>
        <w:t>注：1．I为资金成本总额，P为基本建设费用，i为同期银行商业贷款年利率，n为保障性住房开发建设周期，P</w:t>
      </w:r>
      <w:r>
        <w:rPr>
          <w:rFonts w:hint="eastAsia" w:ascii="楷体_GB2312" w:hAnsi="宋体" w:eastAsia="楷体_GB2312" w:cs="宋体"/>
          <w:szCs w:val="21"/>
          <w:vertAlign w:val="subscript"/>
        </w:rPr>
        <w:t>k</w:t>
      </w:r>
      <w:r>
        <w:rPr>
          <w:rFonts w:hint="eastAsia" w:ascii="楷体_GB2312" w:hAnsi="宋体" w:eastAsia="楷体_GB2312" w:cs="宋体"/>
          <w:szCs w:val="21"/>
        </w:rPr>
        <w:t>为第k期预付的基本建设费用，计算公式为P</w:t>
      </w:r>
      <w:r>
        <w:rPr>
          <w:rFonts w:hint="eastAsia" w:ascii="楷体_GB2312" w:hAnsi="宋体" w:eastAsia="楷体_GB2312" w:cs="宋体"/>
          <w:szCs w:val="21"/>
          <w:vertAlign w:val="subscript"/>
        </w:rPr>
        <w:t>k</w:t>
      </w:r>
      <w:r>
        <w:rPr>
          <w:rFonts w:hint="eastAsia" w:ascii="楷体_GB2312" w:hAnsi="宋体" w:eastAsia="楷体_GB2312" w:cs="宋体"/>
          <w:szCs w:val="21"/>
        </w:rPr>
        <w:t>＝P*收购款预付比例；n</w:t>
      </w:r>
      <w:r>
        <w:rPr>
          <w:rFonts w:hint="eastAsia" w:ascii="楷体_GB2312" w:hAnsi="宋体" w:eastAsia="楷体_GB2312" w:cs="宋体"/>
          <w:szCs w:val="21"/>
          <w:vertAlign w:val="subscript"/>
        </w:rPr>
        <w:t>k</w:t>
      </w:r>
      <w:r>
        <w:rPr>
          <w:rFonts w:hint="eastAsia" w:ascii="楷体_GB2312" w:hAnsi="宋体" w:eastAsia="楷体_GB2312" w:cs="宋体"/>
          <w:szCs w:val="21"/>
        </w:rPr>
        <w:t>为第k期预付基本建设费用的计息期（是从支付时点起到开发结束的时间段）。</w:t>
      </w:r>
    </w:p>
    <w:p>
      <w:pPr>
        <w:spacing w:after="156" w:afterLines="50" w:line="320" w:lineRule="atLeast"/>
        <w:ind w:firstLine="407" w:firstLineChars="194"/>
        <w:rPr>
          <w:rFonts w:hint="eastAsia" w:ascii="楷体_GB2312" w:hAnsi="宋体" w:eastAsia="楷体_GB2312" w:cs="宋体"/>
          <w:szCs w:val="21"/>
        </w:rPr>
      </w:pPr>
      <w:r>
        <w:rPr>
          <w:rFonts w:hint="eastAsia" w:ascii="楷体_GB2312" w:hAnsi="宋体" w:eastAsia="楷体_GB2312" w:cs="宋体"/>
          <w:szCs w:val="21"/>
        </w:rPr>
        <w:t>2．开发期及分期支付的支付时点。</w:t>
      </w:r>
    </w:p>
    <w:p>
      <w:pPr>
        <w:spacing w:line="300" w:lineRule="exact"/>
        <w:ind w:firstLine="407" w:firstLineChars="194"/>
        <w:rPr>
          <w:rFonts w:hint="eastAsia" w:ascii="楷体_GB2312" w:hAnsi="宋体" w:eastAsia="楷体_GB2312" w:cs="宋体"/>
          <w:szCs w:val="21"/>
        </w:rPr>
      </w:pPr>
    </w:p>
    <w:p>
      <w:pPr>
        <w:spacing w:line="300" w:lineRule="exact"/>
        <w:ind w:firstLine="407" w:firstLineChars="194"/>
        <w:rPr>
          <w:rFonts w:hint="eastAsia" w:ascii="楷体_GB2312" w:hAnsi="宋体" w:eastAsia="楷体_GB2312" w:cs="宋体"/>
          <w:szCs w:val="21"/>
        </w:rPr>
      </w:pPr>
    </w:p>
    <w:p>
      <w:pPr>
        <w:spacing w:line="300" w:lineRule="exact"/>
        <w:ind w:firstLine="198"/>
        <w:rPr>
          <w:rFonts w:hint="eastAsia" w:ascii="楷体_GB2312" w:hAnsi="宋体" w:eastAsia="楷体_GB2312" w:cs="宋体"/>
          <w:szCs w:val="21"/>
        </w:rPr>
      </w:pP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4105"/>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收购的保障性住房建筑面积</w:t>
            </w:r>
          </w:p>
        </w:tc>
        <w:tc>
          <w:tcPr>
            <w:tcW w:w="1260" w:type="dxa"/>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整个开发期</w:t>
            </w:r>
          </w:p>
        </w:tc>
        <w:tc>
          <w:tcPr>
            <w:tcW w:w="4822" w:type="dxa"/>
            <w:gridSpan w:val="2"/>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分期支付的支付时点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50000</w:t>
            </w:r>
            <w:r>
              <w:rPr>
                <w:rFonts w:hint="eastAsia" w:ascii="宋体" w:hAnsi="宋体" w:cs="宋体"/>
                <w:kern w:val="21"/>
                <w:szCs w:val="21"/>
              </w:rPr>
              <w:t>平方米</w:t>
            </w:r>
            <w:r>
              <w:rPr>
                <w:rFonts w:hint="eastAsia" w:ascii="宋体" w:hAnsi="宋体" w:cs="宋体"/>
                <w:color w:val="000000"/>
                <w:szCs w:val="21"/>
              </w:rPr>
              <w:t>以下</w:t>
            </w:r>
          </w:p>
        </w:tc>
        <w:tc>
          <w:tcPr>
            <w:tcW w:w="1260"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2年</w:t>
            </w: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住宅主体工程±0.00</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住宅主体封顶</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14月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取得竣工验收备案回执</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项目移交且产权转移登记至住房保障部门</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50001</w:t>
            </w:r>
            <w:r>
              <w:rPr>
                <w:rFonts w:hint="eastAsia" w:ascii="宋体" w:hAnsi="宋体" w:cs="宋体"/>
                <w:kern w:val="21"/>
                <w:szCs w:val="21"/>
              </w:rPr>
              <w:t>平方米</w:t>
            </w:r>
            <w:r>
              <w:rPr>
                <w:rFonts w:hint="eastAsia" w:ascii="宋体" w:hAnsi="宋体" w:cs="宋体"/>
                <w:color w:val="000000"/>
                <w:szCs w:val="21"/>
              </w:rPr>
              <w:t>～200000</w:t>
            </w:r>
            <w:r>
              <w:rPr>
                <w:rFonts w:hint="eastAsia" w:ascii="宋体" w:hAnsi="宋体" w:cs="宋体"/>
                <w:kern w:val="21"/>
                <w:szCs w:val="21"/>
              </w:rPr>
              <w:t>平方米</w:t>
            </w:r>
          </w:p>
        </w:tc>
        <w:tc>
          <w:tcPr>
            <w:tcW w:w="1260"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3年</w:t>
            </w: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住宅主体工程±0.00</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住宅主体封顶</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取得竣工验收备案回执</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32月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项目移交且产权转移登记至住房保障部门</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36月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200001</w:t>
            </w:r>
            <w:r>
              <w:rPr>
                <w:rFonts w:hint="eastAsia" w:ascii="宋体" w:hAnsi="宋体" w:cs="宋体"/>
                <w:kern w:val="21"/>
                <w:szCs w:val="21"/>
              </w:rPr>
              <w:t>平方米</w:t>
            </w:r>
            <w:r>
              <w:rPr>
                <w:rFonts w:hint="eastAsia" w:ascii="宋体" w:hAnsi="宋体" w:cs="宋体"/>
                <w:color w:val="000000"/>
                <w:szCs w:val="21"/>
              </w:rPr>
              <w:t>以上</w:t>
            </w:r>
          </w:p>
        </w:tc>
        <w:tc>
          <w:tcPr>
            <w:tcW w:w="1260" w:type="dxa"/>
            <w:vMerge w:val="restart"/>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4年</w:t>
            </w: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住宅主体工程±0.00</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13月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住宅主体封顶</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hint="eastAsia"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取得竣工验收备案回执</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943" w:type="dxa"/>
            <w:vMerge w:val="continue"/>
            <w:vAlign w:val="center"/>
          </w:tcPr>
          <w:p>
            <w:pPr>
              <w:spacing w:line="300" w:lineRule="exact"/>
              <w:ind w:left="-42" w:leftChars="-20" w:right="-42" w:rightChars="-20"/>
              <w:jc w:val="center"/>
              <w:rPr>
                <w:rFonts w:ascii="宋体" w:hAnsi="宋体" w:cs="宋体"/>
                <w:color w:val="000000"/>
                <w:szCs w:val="21"/>
              </w:rPr>
            </w:pPr>
          </w:p>
        </w:tc>
        <w:tc>
          <w:tcPr>
            <w:tcW w:w="1260" w:type="dxa"/>
            <w:vMerge w:val="continue"/>
            <w:vAlign w:val="center"/>
          </w:tcPr>
          <w:p>
            <w:pPr>
              <w:spacing w:line="300" w:lineRule="exact"/>
              <w:ind w:left="-42" w:leftChars="-20" w:right="-42" w:rightChars="-20"/>
              <w:jc w:val="center"/>
              <w:rPr>
                <w:rFonts w:ascii="宋体" w:hAnsi="宋体" w:cs="宋体"/>
                <w:color w:val="000000"/>
                <w:szCs w:val="21"/>
              </w:rPr>
            </w:pPr>
          </w:p>
        </w:tc>
        <w:tc>
          <w:tcPr>
            <w:tcW w:w="4105" w:type="dxa"/>
            <w:vAlign w:val="center"/>
          </w:tcPr>
          <w:p>
            <w:pPr>
              <w:spacing w:line="300" w:lineRule="exact"/>
              <w:ind w:left="-42" w:leftChars="-20" w:right="-42" w:rightChars="-20"/>
              <w:rPr>
                <w:rFonts w:ascii="宋体" w:hAnsi="宋体" w:cs="宋体"/>
                <w:color w:val="000000"/>
                <w:szCs w:val="21"/>
              </w:rPr>
            </w:pPr>
            <w:r>
              <w:rPr>
                <w:rFonts w:hint="eastAsia" w:ascii="宋体" w:hAnsi="宋体" w:cs="宋体"/>
                <w:color w:val="000000"/>
                <w:szCs w:val="21"/>
              </w:rPr>
              <w:t>项目移交且产权转移登记至住房保障部门</w:t>
            </w:r>
          </w:p>
        </w:tc>
        <w:tc>
          <w:tcPr>
            <w:tcW w:w="717" w:type="dxa"/>
            <w:vAlign w:val="center"/>
          </w:tcPr>
          <w:p>
            <w:pPr>
              <w:spacing w:line="300" w:lineRule="exact"/>
              <w:ind w:left="-42" w:leftChars="-20" w:right="-42" w:rightChars="-20"/>
              <w:jc w:val="center"/>
              <w:rPr>
                <w:rFonts w:ascii="宋体" w:hAnsi="宋体" w:cs="宋体"/>
                <w:color w:val="000000"/>
                <w:szCs w:val="21"/>
              </w:rPr>
            </w:pPr>
            <w:r>
              <w:rPr>
                <w:rFonts w:hint="eastAsia" w:ascii="宋体" w:hAnsi="宋体" w:cs="宋体"/>
                <w:color w:val="000000"/>
                <w:szCs w:val="21"/>
              </w:rPr>
              <w:t>48月</w:t>
            </w:r>
          </w:p>
        </w:tc>
      </w:tr>
    </w:tbl>
    <w:p>
      <w:pPr>
        <w:snapToGrid w:val="0"/>
        <w:spacing w:after="156" w:afterLines="50" w:line="0" w:lineRule="atLeast"/>
        <w:jc w:val="center"/>
        <w:rPr>
          <w:rFonts w:ascii="宋体" w:hAnsi="宋体"/>
          <w:sz w:val="36"/>
          <w:szCs w:val="36"/>
        </w:rPr>
      </w:pPr>
      <w:r>
        <w:rPr>
          <w:rFonts w:hint="eastAsia" w:ascii="宋体" w:hAnsi="宋体"/>
          <w:sz w:val="36"/>
          <w:szCs w:val="36"/>
        </w:rPr>
        <w:t>第二部分  合理利润计算方式</w:t>
      </w: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161"/>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977" w:type="dxa"/>
            <w:shd w:val="clear" w:color="auto" w:fill="auto"/>
            <w:vAlign w:val="center"/>
          </w:tcPr>
          <w:p>
            <w:pPr>
              <w:spacing w:line="30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3161" w:type="dxa"/>
            <w:shd w:val="clear" w:color="auto" w:fill="auto"/>
            <w:vAlign w:val="center"/>
          </w:tcPr>
          <w:p>
            <w:pPr>
              <w:spacing w:line="30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计算公式</w:t>
            </w:r>
          </w:p>
        </w:tc>
        <w:tc>
          <w:tcPr>
            <w:tcW w:w="4887" w:type="dxa"/>
            <w:shd w:val="clear" w:color="auto" w:fill="auto"/>
            <w:vAlign w:val="center"/>
          </w:tcPr>
          <w:p>
            <w:pPr>
              <w:spacing w:line="30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7" w:type="dxa"/>
            <w:shd w:val="clear" w:color="auto" w:fill="auto"/>
            <w:vAlign w:val="center"/>
          </w:tcPr>
          <w:p>
            <w:pPr>
              <w:spacing w:line="320" w:lineRule="exact"/>
              <w:ind w:left="-51" w:right="-51"/>
              <w:jc w:val="center"/>
              <w:rPr>
                <w:rFonts w:hint="eastAsia" w:ascii="宋体" w:hAnsi="宋体" w:cs="宋体"/>
                <w:color w:val="000000"/>
                <w:szCs w:val="21"/>
              </w:rPr>
            </w:pPr>
            <w:r>
              <w:rPr>
                <w:rFonts w:hint="eastAsia" w:ascii="宋体" w:hAnsi="宋体" w:cs="宋体"/>
                <w:color w:val="000000"/>
                <w:szCs w:val="21"/>
              </w:rPr>
              <w:t>合理利润</w:t>
            </w:r>
          </w:p>
        </w:tc>
        <w:tc>
          <w:tcPr>
            <w:tcW w:w="3161" w:type="dxa"/>
            <w:shd w:val="clear" w:color="auto" w:fill="auto"/>
            <w:vAlign w:val="center"/>
          </w:tcPr>
          <w:p>
            <w:pPr>
              <w:spacing w:line="320" w:lineRule="exact"/>
              <w:ind w:left="-57" w:right="-28"/>
              <w:rPr>
                <w:rFonts w:hint="eastAsia" w:ascii="宋体" w:hAnsi="宋体" w:cs="宋体"/>
                <w:color w:val="000000"/>
                <w:spacing w:val="-2"/>
                <w:szCs w:val="21"/>
              </w:rPr>
            </w:pPr>
            <w:r>
              <w:rPr>
                <w:rFonts w:hint="eastAsia" w:ascii="宋体" w:hAnsi="宋体" w:cs="宋体"/>
                <w:color w:val="000000"/>
                <w:spacing w:val="-2"/>
                <w:szCs w:val="21"/>
              </w:rPr>
              <w:t>（基本建设费＋管理费）×利润率</w:t>
            </w:r>
          </w:p>
        </w:tc>
        <w:tc>
          <w:tcPr>
            <w:tcW w:w="4887" w:type="dxa"/>
            <w:shd w:val="clear" w:color="auto" w:fill="auto"/>
            <w:vAlign w:val="center"/>
          </w:tcPr>
          <w:p>
            <w:pPr>
              <w:spacing w:line="320" w:lineRule="exact"/>
              <w:ind w:left="-30" w:right="-30"/>
              <w:rPr>
                <w:rFonts w:hint="eastAsia" w:ascii="宋体" w:hAnsi="宋体"/>
                <w:bCs/>
                <w:color w:val="000000"/>
                <w:szCs w:val="21"/>
              </w:rPr>
            </w:pPr>
            <w:r>
              <w:rPr>
                <w:rFonts w:hint="eastAsia" w:ascii="宋体" w:hAnsi="宋体" w:cs="宋体"/>
                <w:color w:val="000000"/>
                <w:szCs w:val="21"/>
              </w:rPr>
              <w:t>利润率：以收购当期的1-3年贷款基准利率为利润率</w:t>
            </w:r>
          </w:p>
        </w:tc>
      </w:tr>
    </w:tbl>
    <w:p>
      <w:pPr>
        <w:snapToGrid w:val="0"/>
        <w:spacing w:line="280" w:lineRule="exact"/>
        <w:rPr>
          <w:rFonts w:hint="eastAsia" w:ascii="宋体" w:hAnsi="宋体"/>
          <w:b/>
          <w:szCs w:val="21"/>
        </w:rPr>
      </w:pPr>
    </w:p>
    <w:p>
      <w:pPr>
        <w:snapToGrid w:val="0"/>
        <w:spacing w:line="280" w:lineRule="exact"/>
        <w:rPr>
          <w:rFonts w:hint="eastAsia" w:ascii="宋体" w:hAnsi="宋体"/>
          <w:b/>
          <w:szCs w:val="21"/>
        </w:rPr>
      </w:pPr>
    </w:p>
    <w:p>
      <w:pPr>
        <w:snapToGrid w:val="0"/>
        <w:spacing w:after="156" w:afterLines="50" w:line="0" w:lineRule="atLeast"/>
        <w:jc w:val="center"/>
        <w:rPr>
          <w:rFonts w:ascii="宋体" w:hAnsi="宋体"/>
          <w:sz w:val="36"/>
          <w:szCs w:val="36"/>
        </w:rPr>
      </w:pPr>
      <w:r>
        <w:rPr>
          <w:rFonts w:hint="eastAsia" w:ascii="宋体" w:hAnsi="宋体"/>
          <w:sz w:val="36"/>
          <w:szCs w:val="36"/>
        </w:rPr>
        <w:t>第三部分  户内装饰装修造价确定原则</w:t>
      </w:r>
    </w:p>
    <w:tbl>
      <w:tblPr>
        <w:tblStyle w:val="4"/>
        <w:tblW w:w="9025" w:type="dxa"/>
        <w:jc w:val="center"/>
        <w:tblInd w:w="0" w:type="dxa"/>
        <w:tblLayout w:type="fixed"/>
        <w:tblCellMar>
          <w:top w:w="0" w:type="dxa"/>
          <w:left w:w="108" w:type="dxa"/>
          <w:bottom w:w="0" w:type="dxa"/>
          <w:right w:w="108" w:type="dxa"/>
        </w:tblCellMar>
      </w:tblPr>
      <w:tblGrid>
        <w:gridCol w:w="963"/>
        <w:gridCol w:w="8062"/>
      </w:tblGrid>
      <w:tr>
        <w:tblPrEx>
          <w:tblLayout w:type="fixed"/>
          <w:tblCellMar>
            <w:top w:w="0" w:type="dxa"/>
            <w:left w:w="108" w:type="dxa"/>
            <w:bottom w:w="0" w:type="dxa"/>
            <w:right w:w="108" w:type="dxa"/>
          </w:tblCellMar>
        </w:tblPrEx>
        <w:trPr>
          <w:trHeight w:val="284" w:hRule="atLeast"/>
          <w:tblHeader/>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80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ind w:left="-63" w:leftChars="-30" w:right="-63" w:rightChars="-30"/>
              <w:jc w:val="center"/>
              <w:rPr>
                <w:rFonts w:hint="eastAsia" w:ascii="黑体" w:hAnsi="宋体" w:eastAsia="黑体" w:cs="宋体"/>
                <w:color w:val="000000"/>
                <w:szCs w:val="21"/>
              </w:rPr>
            </w:pPr>
            <w:r>
              <w:rPr>
                <w:rFonts w:hint="eastAsia" w:ascii="黑体" w:hAnsi="宋体" w:eastAsia="黑体" w:cs="宋体"/>
                <w:color w:val="000000"/>
                <w:szCs w:val="21"/>
              </w:rPr>
              <w:t>确定原则</w:t>
            </w:r>
          </w:p>
        </w:tc>
      </w:tr>
      <w:tr>
        <w:tblPrEx>
          <w:tblLayout w:type="fixed"/>
          <w:tblCellMar>
            <w:top w:w="0" w:type="dxa"/>
            <w:left w:w="108" w:type="dxa"/>
            <w:bottom w:w="0" w:type="dxa"/>
            <w:right w:w="108" w:type="dxa"/>
          </w:tblCellMar>
        </w:tblPrEx>
        <w:trPr>
          <w:trHeight w:val="284"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ind w:left="-63" w:leftChars="-30" w:right="-63" w:rightChars="-30"/>
              <w:jc w:val="center"/>
              <w:rPr>
                <w:rFonts w:ascii="宋体" w:hAnsi="宋体" w:cs="宋体"/>
                <w:color w:val="000000"/>
                <w:szCs w:val="21"/>
              </w:rPr>
            </w:pPr>
            <w:r>
              <w:rPr>
                <w:rFonts w:hint="eastAsia" w:ascii="宋体" w:hAnsi="宋体" w:cs="宋体"/>
                <w:color w:val="000000"/>
                <w:szCs w:val="21"/>
              </w:rPr>
              <w:t>户内装饰装修造价</w:t>
            </w:r>
          </w:p>
        </w:tc>
        <w:tc>
          <w:tcPr>
            <w:tcW w:w="80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ind w:left="-63" w:leftChars="-30" w:right="-63" w:rightChars="-30"/>
              <w:rPr>
                <w:rFonts w:ascii="宋体" w:hAnsi="宋体" w:cs="宋体"/>
                <w:color w:val="000000"/>
                <w:szCs w:val="21"/>
              </w:rPr>
            </w:pPr>
            <w:r>
              <w:rPr>
                <w:rFonts w:hint="eastAsia" w:ascii="宋体" w:hAnsi="宋体" w:cs="宋体"/>
                <w:color w:val="000000"/>
                <w:szCs w:val="21"/>
              </w:rPr>
              <w:t>市（区）住房保障部门委托市（区）造价管理机构按实际装饰装修配置审核户内装饰装修造价，装饰装修造价以审核的结论为准。审核的结果不再下浮，但应计取法定税金。</w:t>
            </w:r>
          </w:p>
        </w:tc>
      </w:tr>
    </w:tbl>
    <w:p>
      <w:pPr>
        <w:snapToGrid w:val="0"/>
        <w:spacing w:line="280" w:lineRule="exact"/>
        <w:rPr>
          <w:rFonts w:hint="eastAsia" w:ascii="宋体" w:hAnsi="宋体"/>
          <w:bCs/>
          <w:szCs w:val="21"/>
        </w:rPr>
      </w:pPr>
    </w:p>
    <w:p>
      <w:pPr>
        <w:snapToGrid w:val="0"/>
        <w:spacing w:line="280" w:lineRule="exact"/>
        <w:rPr>
          <w:rFonts w:hint="eastAsia" w:ascii="宋体" w:hAnsi="宋体"/>
          <w:bCs/>
          <w:szCs w:val="21"/>
        </w:rPr>
      </w:pPr>
    </w:p>
    <w:p>
      <w:pPr>
        <w:spacing w:line="400" w:lineRule="atLeast"/>
        <w:ind w:firstLine="480" w:firstLineChars="200"/>
        <w:rPr>
          <w:rFonts w:hint="eastAsia" w:ascii="宋体" w:hAnsi="宋体"/>
          <w:sz w:val="24"/>
          <w:szCs w:val="24"/>
        </w:rPr>
      </w:pPr>
      <w:r>
        <w:rPr>
          <w:rFonts w:hint="eastAsia" w:ascii="宋体" w:hAnsi="宋体"/>
          <w:sz w:val="24"/>
          <w:szCs w:val="24"/>
        </w:rPr>
        <w:t>毛坯房与户内精装修分界标准。</w:t>
      </w:r>
    </w:p>
    <w:p>
      <w:pPr>
        <w:spacing w:before="156" w:beforeLines="50" w:after="156" w:afterLines="50" w:line="0" w:lineRule="atLeast"/>
        <w:jc w:val="center"/>
        <w:rPr>
          <w:rFonts w:hint="eastAsia" w:ascii="宋体" w:hAnsi="宋体"/>
          <w:sz w:val="36"/>
          <w:szCs w:val="36"/>
        </w:rPr>
      </w:pPr>
      <w:r>
        <w:rPr>
          <w:rFonts w:hint="eastAsia" w:ascii="宋体" w:hAnsi="宋体"/>
          <w:sz w:val="36"/>
          <w:szCs w:val="36"/>
        </w:rPr>
        <w:t>建筑安装工程及设备经济指标所指毛坯房的标准</w:t>
      </w: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404"/>
        <w:gridCol w:w="1980"/>
        <w:gridCol w:w="1980"/>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260" w:lineRule="exact"/>
              <w:ind w:left="-63" w:leftChars="-30" w:right="-63" w:rightChars="-30"/>
              <w:jc w:val="center"/>
              <w:rPr>
                <w:rFonts w:hint="eastAsia" w:ascii="黑体" w:hAnsi="宋体" w:eastAsia="黑体"/>
                <w:szCs w:val="21"/>
              </w:rPr>
            </w:pPr>
          </w:p>
        </w:tc>
        <w:tc>
          <w:tcPr>
            <w:tcW w:w="1404" w:type="dxa"/>
            <w:shd w:val="clear" w:color="auto" w:fill="auto"/>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厅及房间</w:t>
            </w:r>
          </w:p>
        </w:tc>
        <w:tc>
          <w:tcPr>
            <w:tcW w:w="1980" w:type="dxa"/>
            <w:shd w:val="clear" w:color="auto" w:fill="auto"/>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卫生间</w:t>
            </w:r>
          </w:p>
        </w:tc>
        <w:tc>
          <w:tcPr>
            <w:tcW w:w="1980" w:type="dxa"/>
            <w:shd w:val="clear" w:color="auto" w:fill="auto"/>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厨房</w:t>
            </w:r>
          </w:p>
        </w:tc>
        <w:tc>
          <w:tcPr>
            <w:tcW w:w="1942" w:type="dxa"/>
            <w:shd w:val="clear" w:color="auto" w:fill="auto"/>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地面</w:t>
            </w:r>
          </w:p>
        </w:tc>
        <w:tc>
          <w:tcPr>
            <w:tcW w:w="1404"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砼结构面</w:t>
            </w:r>
          </w:p>
        </w:tc>
        <w:tc>
          <w:tcPr>
            <w:tcW w:w="1980"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水泥砂浆（包含地面防水）</w:t>
            </w:r>
          </w:p>
        </w:tc>
        <w:tc>
          <w:tcPr>
            <w:tcW w:w="1980"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水泥砂浆（包含地面防水）</w:t>
            </w:r>
          </w:p>
        </w:tc>
        <w:tc>
          <w:tcPr>
            <w:tcW w:w="1942"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水泥砂浆（包含地面防水）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墙面</w:t>
            </w:r>
          </w:p>
        </w:tc>
        <w:tc>
          <w:tcPr>
            <w:tcW w:w="1404"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有内隔墙，水泥砂浆墙面</w:t>
            </w:r>
          </w:p>
        </w:tc>
        <w:tc>
          <w:tcPr>
            <w:tcW w:w="1980"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有内隔墙，水泥砂浆（包含墙面防水）</w:t>
            </w:r>
          </w:p>
        </w:tc>
        <w:tc>
          <w:tcPr>
            <w:tcW w:w="1980"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有内隔墙，水泥砂浆（包含墙面防水）</w:t>
            </w:r>
          </w:p>
        </w:tc>
        <w:tc>
          <w:tcPr>
            <w:tcW w:w="1942" w:type="dxa"/>
            <w:shd w:val="clear" w:color="auto" w:fill="auto"/>
            <w:vAlign w:val="center"/>
          </w:tcPr>
          <w:p>
            <w:pPr>
              <w:spacing w:line="300" w:lineRule="exact"/>
              <w:ind w:left="-63" w:leftChars="-30" w:right="-63" w:rightChars="-30"/>
              <w:rPr>
                <w:rFonts w:ascii="宋体" w:hAnsi="宋体"/>
                <w:szCs w:val="21"/>
              </w:rPr>
            </w:pPr>
            <w:r>
              <w:rPr>
                <w:rFonts w:hint="eastAsia" w:ascii="宋体" w:hAnsi="宋体"/>
                <w:szCs w:val="21"/>
              </w:rPr>
              <w:t>同外墙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天花</w:t>
            </w:r>
          </w:p>
        </w:tc>
        <w:tc>
          <w:tcPr>
            <w:tcW w:w="7306" w:type="dxa"/>
            <w:gridSpan w:val="4"/>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打磨平整，水泥腻子保护。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入户门、窗、栏杆</w:t>
            </w:r>
          </w:p>
        </w:tc>
        <w:tc>
          <w:tcPr>
            <w:tcW w:w="7306" w:type="dxa"/>
            <w:gridSpan w:val="4"/>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安装入户门、阳台门、窗以及栏杆，配件齐全。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强电</w:t>
            </w:r>
          </w:p>
        </w:tc>
        <w:tc>
          <w:tcPr>
            <w:tcW w:w="7306" w:type="dxa"/>
            <w:gridSpan w:val="4"/>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 xml:space="preserve">安装配电箱，电到点：各个房间及阳台开关插座安装完成、配置白炽灯。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弱电</w:t>
            </w:r>
          </w:p>
        </w:tc>
        <w:tc>
          <w:tcPr>
            <w:tcW w:w="7306" w:type="dxa"/>
            <w:gridSpan w:val="4"/>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电到点：有线电视及网络分线盒及插孔、电话插座、红外线探头、楼宇对讲、厨房燃气报警器等。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给水</w:t>
            </w:r>
          </w:p>
        </w:tc>
        <w:tc>
          <w:tcPr>
            <w:tcW w:w="7306" w:type="dxa"/>
            <w:gridSpan w:val="4"/>
            <w:shd w:val="clear" w:color="auto" w:fill="auto"/>
            <w:vAlign w:val="center"/>
          </w:tcPr>
          <w:p>
            <w:pPr>
              <w:spacing w:line="310" w:lineRule="exact"/>
              <w:ind w:left="-63" w:leftChars="-30" w:right="-63" w:rightChars="-30"/>
              <w:rPr>
                <w:rFonts w:ascii="宋体" w:hAnsi="宋体"/>
                <w:spacing w:val="-4"/>
                <w:szCs w:val="21"/>
              </w:rPr>
            </w:pPr>
            <w:r>
              <w:rPr>
                <w:rFonts w:hint="eastAsia" w:ascii="宋体" w:hAnsi="宋体"/>
                <w:spacing w:val="-4"/>
                <w:szCs w:val="21"/>
              </w:rPr>
              <w:t>水到点：楼板面给水管用水泥砂浆保护。预留洗手盆洗菜盆给水点，管口加堵头。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19" w:type="dxa"/>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排水</w:t>
            </w:r>
          </w:p>
        </w:tc>
        <w:tc>
          <w:tcPr>
            <w:tcW w:w="7306" w:type="dxa"/>
            <w:gridSpan w:val="4"/>
            <w:shd w:val="clear" w:color="auto" w:fill="auto"/>
            <w:vAlign w:val="center"/>
          </w:tcPr>
          <w:p>
            <w:pPr>
              <w:spacing w:line="310" w:lineRule="exact"/>
              <w:ind w:left="-63" w:leftChars="-30" w:right="-63" w:rightChars="-30"/>
              <w:rPr>
                <w:rFonts w:ascii="宋体" w:hAnsi="宋体"/>
                <w:szCs w:val="21"/>
              </w:rPr>
            </w:pPr>
            <w:r>
              <w:rPr>
                <w:rFonts w:hint="eastAsia" w:ascii="宋体" w:hAnsi="宋体"/>
                <w:szCs w:val="21"/>
              </w:rPr>
              <w:t>预留排气扇洞口；排水管加PVC管帽；安装PVC地漏及配套地漏盖；安装烟道止逆阀；阳台安装PVC地漏及配套地漏盖。</w:t>
            </w:r>
          </w:p>
        </w:tc>
      </w:tr>
    </w:tbl>
    <w:p>
      <w:pPr>
        <w:snapToGrid w:val="0"/>
        <w:spacing w:line="280" w:lineRule="exact"/>
        <w:rPr>
          <w:rFonts w:hint="eastAsia" w:ascii="宋体" w:hAnsi="宋体"/>
          <w:b/>
          <w:szCs w:val="21"/>
        </w:rPr>
      </w:pPr>
    </w:p>
    <w:p>
      <w:pPr>
        <w:snapToGrid w:val="0"/>
        <w:spacing w:line="280" w:lineRule="exact"/>
        <w:rPr>
          <w:rFonts w:hint="eastAsia" w:ascii="宋体" w:hAnsi="宋体"/>
          <w:b/>
          <w:szCs w:val="21"/>
        </w:rPr>
      </w:pPr>
    </w:p>
    <w:p>
      <w:pPr>
        <w:snapToGrid w:val="0"/>
        <w:spacing w:after="156" w:afterLines="50" w:line="0" w:lineRule="atLeast"/>
        <w:jc w:val="center"/>
        <w:rPr>
          <w:rFonts w:ascii="宋体" w:hAnsi="宋体"/>
          <w:sz w:val="36"/>
          <w:szCs w:val="36"/>
        </w:rPr>
      </w:pPr>
      <w:r>
        <w:rPr>
          <w:rFonts w:hint="eastAsia" w:ascii="宋体" w:hAnsi="宋体"/>
          <w:sz w:val="36"/>
          <w:szCs w:val="36"/>
        </w:rPr>
        <w:t>第四部分  税金计算方式</w:t>
      </w: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489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3123" w:type="dxa"/>
            <w:shd w:val="clear" w:color="auto" w:fill="auto"/>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费用名称</w:t>
            </w:r>
          </w:p>
        </w:tc>
        <w:tc>
          <w:tcPr>
            <w:tcW w:w="4896" w:type="dxa"/>
            <w:shd w:val="clear" w:color="auto" w:fill="auto"/>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计算公式</w:t>
            </w:r>
          </w:p>
        </w:tc>
        <w:tc>
          <w:tcPr>
            <w:tcW w:w="1006" w:type="dxa"/>
            <w:shd w:val="clear" w:color="auto" w:fill="auto"/>
            <w:vAlign w:val="center"/>
          </w:tcPr>
          <w:p>
            <w:pPr>
              <w:spacing w:line="300" w:lineRule="exact"/>
              <w:ind w:left="-42" w:leftChars="-20" w:right="-42" w:rightChars="-20"/>
              <w:jc w:val="center"/>
              <w:rPr>
                <w:rFonts w:hint="eastAsia" w:ascii="黑体" w:hAnsi="宋体" w:eastAsia="黑体" w:cs="宋体"/>
                <w:color w:val="000000"/>
                <w:szCs w:val="21"/>
              </w:rPr>
            </w:pPr>
            <w:r>
              <w:rPr>
                <w:rFonts w:hint="eastAsia" w:ascii="黑体" w:hAnsi="宋体" w:eastAsia="黑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123" w:type="dxa"/>
            <w:shd w:val="clear" w:color="auto" w:fill="auto"/>
            <w:vAlign w:val="center"/>
          </w:tcPr>
          <w:p>
            <w:pPr>
              <w:spacing w:line="320" w:lineRule="exact"/>
              <w:ind w:left="-42" w:leftChars="-20" w:right="-42" w:rightChars="-20"/>
              <w:rPr>
                <w:rFonts w:ascii="宋体" w:hAnsi="宋体" w:cs="宋体"/>
                <w:color w:val="000000"/>
                <w:szCs w:val="21"/>
              </w:rPr>
            </w:pPr>
            <w:r>
              <w:rPr>
                <w:rFonts w:hint="eastAsia" w:ascii="宋体" w:hAnsi="宋体" w:cs="宋体"/>
                <w:color w:val="000000"/>
                <w:szCs w:val="21"/>
              </w:rPr>
              <w:t>法定税金（包括：增值税、城建维护税、教育附加税、印花税）</w:t>
            </w:r>
          </w:p>
        </w:tc>
        <w:tc>
          <w:tcPr>
            <w:tcW w:w="4896" w:type="dxa"/>
            <w:shd w:val="clear" w:color="auto" w:fill="auto"/>
            <w:vAlign w:val="center"/>
          </w:tcPr>
          <w:p>
            <w:pPr>
              <w:spacing w:after="156" w:afterLines="50" w:line="300" w:lineRule="exact"/>
              <w:ind w:left="-42" w:leftChars="-20" w:right="-42" w:rightChars="-20"/>
              <w:rPr>
                <w:rFonts w:ascii="宋体" w:hAnsi="宋体" w:cs="宋体"/>
                <w:color w:val="FF0000"/>
                <w:szCs w:val="21"/>
              </w:rPr>
            </w:pPr>
            <w:r>
              <w:rPr>
                <w:rFonts w:ascii="宋体" w:hAnsi="宋体" w:cs="宋体"/>
                <w:color w:val="000000"/>
                <w:position w:val="-26"/>
                <w:szCs w:val="21"/>
              </w:rPr>
              <w:object>
                <v:shape id="_x0000_i1027" o:spt="75" type="#_x0000_t75" style="height:27pt;width:222.95pt;" o:ole="t" filled="f" o:preferrelative="t" stroked="f" coordsize="21600,21600">
                  <v:path/>
                  <v:fill on="f" focussize="0,0"/>
                  <v:stroke on="f"/>
                  <v:imagedata r:id="rId9" o:title=""/>
                  <o:lock v:ext="edit" grouping="f" rotation="f" text="f" aspectratio="t"/>
                  <w10:wrap type="none"/>
                  <w10:anchorlock/>
                </v:shape>
                <o:OLEObject Type="Embed" ProgID="Equation.3" ShapeID="_x0000_i1027" DrawAspect="Content" ObjectID="_1468075727" r:id="rId8">
                  <o:LockedField>false</o:LockedField>
                </o:OLEObject>
              </w:object>
            </w:r>
          </w:p>
        </w:tc>
        <w:tc>
          <w:tcPr>
            <w:tcW w:w="1006" w:type="dxa"/>
            <w:shd w:val="clear" w:color="auto" w:fill="auto"/>
            <w:vAlign w:val="center"/>
          </w:tcPr>
          <w:p>
            <w:pPr>
              <w:spacing w:line="320" w:lineRule="exact"/>
              <w:ind w:left="-42" w:leftChars="-20" w:right="-42" w:rightChars="-20"/>
              <w:rPr>
                <w:rFonts w:ascii="宋体" w:hAnsi="宋体" w:cs="宋体"/>
                <w:color w:val="000000"/>
                <w:szCs w:val="21"/>
              </w:rPr>
            </w:pPr>
            <w:r>
              <w:rPr>
                <w:rFonts w:hint="eastAsia" w:ascii="宋体" w:hAnsi="宋体" w:cs="宋体"/>
                <w:color w:val="000000"/>
                <w:szCs w:val="21"/>
              </w:rPr>
              <w:t>综合税率为5.38%</w:t>
            </w:r>
          </w:p>
        </w:tc>
      </w:tr>
    </w:tbl>
    <w:p>
      <w:r>
        <w:rPr>
          <w:rFonts w:hint="eastAsia" w:ascii="楷体_GB2312" w:hAnsi="宋体" w:eastAsia="楷体_GB2312" w:cs="宋体"/>
          <w:color w:val="000000"/>
          <w:szCs w:val="21"/>
        </w:rPr>
        <w:t>注：法定税金在收购价格计算时如已缴纳税金，则按实际缴纳计算，如未缴纳，则按上述简易计税方法计算。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124F9"/>
    <w:rsid w:val="6D535020"/>
    <w:rsid w:val="7431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2018-04-10T07:18:00Z</dcterms:created>
  <dc:creator>琉璃</dc:creator>
  <cp:lastModifiedBy>琉璃</cp:lastModifiedBy>
  <dcterms:modified xsi:type="dcterms:W3CDTF">2018-04-10T07:19:26Z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