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</w:p>
    <w:p>
      <w:pPr>
        <w:spacing w:after="156" w:afterLines="50"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深圳市地方补充医疗保险药品目录增补品种</w:t>
      </w:r>
    </w:p>
    <w:tbl>
      <w:tblPr>
        <w:tblStyle w:val="3"/>
        <w:tblW w:w="91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484"/>
        <w:gridCol w:w="658"/>
        <w:gridCol w:w="6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序号</w:t>
            </w:r>
          </w:p>
        </w:tc>
        <w:tc>
          <w:tcPr>
            <w:tcW w:w="1484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药品通用名</w:t>
            </w:r>
          </w:p>
        </w:tc>
        <w:tc>
          <w:tcPr>
            <w:tcW w:w="65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剂型</w:t>
            </w:r>
          </w:p>
        </w:tc>
        <w:tc>
          <w:tcPr>
            <w:tcW w:w="6404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</w:t>
            </w: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盐酸沙丙</w:t>
            </w:r>
            <w:r>
              <w:rPr>
                <w:rFonts w:hint="eastAsia" w:ascii="宋体" w:hAnsi="宋体" w:cs="仿宋_GB2312"/>
                <w:szCs w:val="21"/>
              </w:rPr>
              <w:t>喋</w:t>
            </w:r>
            <w:r>
              <w:rPr>
                <w:rFonts w:hint="eastAsia" w:ascii="宋体" w:hAnsi="宋体"/>
                <w:szCs w:val="21"/>
              </w:rPr>
              <w:t>呤</w:t>
            </w: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片剂</w:t>
            </w:r>
          </w:p>
        </w:tc>
        <w:tc>
          <w:tcPr>
            <w:tcW w:w="6404" w:type="dxa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适用于治疗成人及4岁以上儿童因四氢生物喋呤（BH4）缺乏症所导致的高苯丙氨酸血症（HPA）。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776D8"/>
    <w:rsid w:val="434776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l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2018-04-03T03:47:00Z</dcterms:created>
  <dc:creator>琉璃</dc:creator>
  <cp:lastModifiedBy>琉璃</cp:lastModifiedBy>
  <dcterms:modified xsi:type="dcterms:W3CDTF">2018-04-03T03:47:40Z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