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科创板IPO知识产权风险排查与预警培训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会议</w:t>
      </w:r>
      <w:r>
        <w:rPr>
          <w:rFonts w:hint="eastAsia" w:ascii="华文中宋" w:hAnsi="华文中宋" w:eastAsia="华文中宋"/>
          <w:b/>
          <w:sz w:val="44"/>
          <w:szCs w:val="44"/>
        </w:rPr>
        <w:t>议程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一、时间地点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14:0</w:t>
      </w:r>
      <w:r>
        <w:rPr>
          <w:rFonts w:hint="eastAsia" w:ascii="仿宋_GB2312" w:eastAsia="仿宋_GB2312"/>
          <w:sz w:val="32"/>
          <w:szCs w:val="32"/>
        </w:rPr>
        <w:t>0-1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7:0</w:t>
      </w:r>
      <w:r>
        <w:rPr>
          <w:rFonts w:hint="eastAsia" w:ascii="仿宋_GB2312" w:eastAsia="仿宋_GB2312"/>
          <w:sz w:val="32"/>
          <w:szCs w:val="32"/>
        </w:rPr>
        <w:t>0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49484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地点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：深圳市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  <w:t>南山区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软件产业基地5B栋4楼深圳湾ECO国际会议中心-启贤厅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二、议程</w:t>
      </w:r>
    </w:p>
    <w:tbl>
      <w:tblPr>
        <w:tblStyle w:val="4"/>
        <w:tblW w:w="8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90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23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highlight w:val="none"/>
              </w:rPr>
              <w:t>时间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highlight w:val="none"/>
              </w:rPr>
              <w:t>主题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highlight w:val="none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:00–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6433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签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643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de-DE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15:35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科创板IPO案例分析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深圳市威世博知识产权代理事务所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–1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科创板IPO知识产权风险排查与预警分析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深圳市威世博知识产权代理事务所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6:40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17:00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现场答疑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深圳市威世博知识产权代理事务所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25FC4"/>
    <w:rsid w:val="43966670"/>
    <w:rsid w:val="46C25FC4"/>
    <w:rsid w:val="577C2DDA"/>
    <w:rsid w:val="63BA68BC"/>
    <w:rsid w:val="6BE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2021-10-18T11:48:00Z</dcterms:created>
  <dc:creator>王秋雯</dc:creator>
  <cp:lastModifiedBy>刘妍彤</cp:lastModifiedBy>
  <dcterms:modified xsi:type="dcterms:W3CDTF">2021-10-22T01:05:26Z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D6BF3EEBC15D44D38C830C04C3AD2B7F</vt:lpwstr>
  </property>
</Properties>
</file>