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Cs w:val="32"/>
          <w:lang w:val="en-US" w:eastAsia="zh-CN"/>
        </w:rPr>
        <w:t>附件：</w:t>
      </w:r>
    </w:p>
    <w:p>
      <w:pPr>
        <w:spacing w:line="560" w:lineRule="exact"/>
        <w:rPr>
          <w:rFonts w:hint="eastAsia" w:ascii="黑体" w:hAnsi="黑体" w:eastAsia="黑体"/>
          <w:bCs/>
          <w:kern w:val="0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  <w:t>深圳市商务局202</w:t>
      </w: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  <w:t>年度中央外经贸发展专项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资金（中国国际进口博览会活动事项）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申报指南</w:t>
      </w:r>
    </w:p>
    <w:p>
      <w:pPr>
        <w:spacing w:line="56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一、支持领域</w:t>
      </w:r>
    </w:p>
    <w:p>
      <w:pPr>
        <w:spacing w:line="560" w:lineRule="exact"/>
        <w:ind w:firstLine="537" w:firstLineChars="168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支持深圳交易团及相关单位、企业在第</w:t>
      </w:r>
      <w:r>
        <w:rPr>
          <w:rFonts w:hint="eastAsia" w:ascii="仿宋_GB2312"/>
          <w:szCs w:val="32"/>
          <w:lang w:val="en-US" w:eastAsia="zh-CN"/>
        </w:rPr>
        <w:t>四</w:t>
      </w:r>
      <w:r>
        <w:rPr>
          <w:rFonts w:hint="eastAsia" w:ascii="仿宋_GB2312"/>
          <w:szCs w:val="32"/>
        </w:rPr>
        <w:t>届中国国际进口博览会（以下简称</w:t>
      </w:r>
      <w:r>
        <w:rPr>
          <w:rFonts w:hint="eastAsia" w:ascii="仿宋_GB2312"/>
          <w:szCs w:val="32"/>
          <w:lang w:eastAsia="zh-CN"/>
        </w:rPr>
        <w:t>“</w:t>
      </w:r>
      <w:r>
        <w:rPr>
          <w:rFonts w:hint="eastAsia" w:ascii="仿宋_GB2312"/>
          <w:szCs w:val="32"/>
        </w:rPr>
        <w:t>进口博览会</w:t>
      </w:r>
      <w:r>
        <w:rPr>
          <w:rFonts w:hint="eastAsia" w:ascii="仿宋_GB2312"/>
          <w:szCs w:val="32"/>
          <w:lang w:eastAsia="zh-CN"/>
        </w:rPr>
        <w:t>”</w:t>
      </w:r>
      <w:r>
        <w:rPr>
          <w:rFonts w:hint="eastAsia" w:ascii="仿宋_GB2312"/>
          <w:szCs w:val="32"/>
        </w:rPr>
        <w:t xml:space="preserve">）举办期间，组织和开展的各类项目市场对接、项目洽谈、营商环境推介、供应商采购、新品发布、政策宣讲等相关活动，加大我市企业对接国际市场、项目、商品采购等资源。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二、设定依据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（一）资金政策依据</w:t>
      </w:r>
    </w:p>
    <w:p>
      <w:pPr>
        <w:spacing w:line="560" w:lineRule="exact"/>
        <w:ind w:firstLine="640"/>
        <w:rPr>
          <w:rFonts w:hint="eastAsia" w:ascii="仿宋_GB2312"/>
          <w:color w:val="0000FF"/>
          <w:szCs w:val="32"/>
          <w:shd w:val="clear" w:color="auto" w:fill="auto"/>
        </w:rPr>
      </w:pPr>
      <w:r>
        <w:rPr>
          <w:rFonts w:hint="eastAsia" w:ascii="仿宋_GB2312"/>
          <w:color w:val="auto"/>
          <w:szCs w:val="32"/>
          <w:shd w:val="clear" w:color="auto" w:fill="auto"/>
        </w:rPr>
        <w:t>1.《财政部 商务部关于2021年度外经贸发展专项资金重点工作的通知》（财建〔2021〕183号）。</w:t>
      </w:r>
    </w:p>
    <w:p>
      <w:pPr>
        <w:spacing w:line="560" w:lineRule="exact"/>
        <w:ind w:firstLine="640" w:firstLineChars="0"/>
        <w:rPr>
          <w:rFonts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（二）资金管理依据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1.《财政部 商务部关于印发〈外经贸发展专项资金管理办法〉的通知》（财行〔2014〕36号）；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2.《财政部 商务部关于〈外经贸发展专项资金管理办法〉的补充通知》（财行〔2016〕480号）；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  <w:lang w:eastAsia="zh-CN"/>
        </w:rPr>
      </w:pPr>
      <w:r>
        <w:rPr>
          <w:rFonts w:hint="eastAsia" w:ascii="仿宋_GB2312"/>
          <w:color w:val="000000"/>
          <w:szCs w:val="32"/>
        </w:rPr>
        <w:t>3.《财政部 商务部关于〈外经贸发展专项资金管理办法〉的补充通知》（财行〔2019〕91号）</w:t>
      </w:r>
      <w:r>
        <w:rPr>
          <w:rFonts w:hint="eastAsia" w:ascii="仿宋_GB2312"/>
          <w:color w:val="00000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宋体" w:hAnsi="宋体" w:eastAsia="宋体"/>
          <w:b/>
          <w:szCs w:val="32"/>
        </w:rPr>
      </w:pPr>
      <w:r>
        <w:rPr>
          <w:rFonts w:hint="eastAsia" w:ascii="黑体" w:hAnsi="黑体" w:eastAsia="黑体"/>
          <w:szCs w:val="32"/>
        </w:rPr>
        <w:t>三、支持数量和资助方式</w:t>
      </w:r>
    </w:p>
    <w:p>
      <w:pPr>
        <w:widowControl/>
        <w:shd w:val="clear" w:color="auto" w:fill="FFFFFF"/>
        <w:spacing w:beforeLines="0" w:afterLines="0" w:line="560" w:lineRule="exact"/>
        <w:ind w:firstLine="645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（一）支持数量：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数量限制，受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财政部、商务部下达年度资金预算控制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金额以万元为单位按舍尾法取整，且原则上不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得大于实际发生/投入金额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务局视申报情况和预算安排，对资助金额、支持比例和拨付进度等进行统一调整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申请单位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应无条件同意调整结果。</w:t>
      </w:r>
    </w:p>
    <w:p>
      <w:pPr>
        <w:widowControl/>
        <w:shd w:val="clear" w:color="auto" w:fill="FFFFFF"/>
        <w:spacing w:beforeLines="0" w:afterLines="0" w:line="560" w:lineRule="exact"/>
        <w:ind w:firstLine="645" w:firstLineChars="0"/>
        <w:rPr>
          <w:rFonts w:hint="eastAsia" w:ascii="仿宋_GB2312" w:hAnsi="宋体" w:eastAsia="仿宋_GB2312" w:cs="宋体"/>
          <w:kern w:val="0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（二）资助方式：</w:t>
      </w:r>
      <w:r>
        <w:rPr>
          <w:rFonts w:hint="eastAsia" w:ascii="仿宋_GB2312" w:hAnsi="仿宋_GB2312" w:cs="仿宋_GB2312"/>
          <w:bCs/>
          <w:szCs w:val="32"/>
        </w:rPr>
        <w:t>事后资助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宋体" w:hAnsi="宋体" w:eastAsia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四、资助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内容及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（一）举办市场对接、供应商采购等以扩大采购交易额为目的的活动。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（二）举办项目洽谈、投资推广等以促进两地项目合作为目的的活动。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color w:val="0000FF"/>
          <w:szCs w:val="32"/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（三）举办新品发布、政策宣讲等以提升企业、地区形象为目的的活动。</w:t>
      </w:r>
    </w:p>
    <w:p>
      <w:pPr>
        <w:spacing w:line="560" w:lineRule="exact"/>
        <w:ind w:firstLine="640" w:firstLineChars="200"/>
        <w:rPr>
          <w:rFonts w:hint="eastAsia" w:eastAsia="仿宋_GB2312"/>
          <w:color w:val="FF0000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对</w:t>
      </w:r>
      <w:r>
        <w:rPr>
          <w:rFonts w:hint="eastAsia" w:ascii="仿宋_GB2312"/>
          <w:szCs w:val="32"/>
        </w:rPr>
        <w:t>在进口博览会期间举办</w:t>
      </w:r>
      <w:r>
        <w:rPr>
          <w:rFonts w:hint="eastAsia"/>
          <w:lang w:val="en-US" w:eastAsia="zh-CN"/>
        </w:rPr>
        <w:t>上述</w:t>
      </w:r>
      <w:r>
        <w:rPr>
          <w:rFonts w:hint="eastAsia" w:ascii="仿宋_GB2312"/>
          <w:szCs w:val="32"/>
        </w:rPr>
        <w:t>活动</w:t>
      </w:r>
      <w:r>
        <w:rPr>
          <w:rFonts w:hint="eastAsia" w:ascii="仿宋_GB2312"/>
          <w:szCs w:val="32"/>
          <w:lang w:val="en-US" w:eastAsia="zh-CN"/>
        </w:rPr>
        <w:t>所</w:t>
      </w:r>
      <w:r>
        <w:rPr>
          <w:rFonts w:hint="eastAsia" w:ascii="仿宋_GB2312" w:hAnsi="宋体" w:cs="宋体"/>
          <w:kern w:val="0"/>
          <w:szCs w:val="32"/>
        </w:rPr>
        <w:t>实际发生的场地租赁费用、场地布置费用、设备租赁费用、翻译费用、会议服务费用（按不超过活动结算总费用的5%计算）、宣传推广费用（线下媒体宣传、线上平台宣传、户外广告宣传、视频制作以及资料印刷费用）等费用给予100%的支持</w:t>
      </w:r>
      <w:r>
        <w:rPr>
          <w:rFonts w:hint="eastAsia"/>
        </w:rPr>
        <w:t>。</w:t>
      </w:r>
      <w:r>
        <w:rPr>
          <w:rFonts w:hint="eastAsia" w:ascii="仿宋_GB2312"/>
          <w:szCs w:val="32"/>
        </w:rPr>
        <w:t>单家申报单位</w:t>
      </w:r>
      <w:r>
        <w:rPr>
          <w:rFonts w:hint="eastAsia" w:ascii="仿宋_GB2312" w:hAnsi="宋体" w:cs="宋体"/>
          <w:kern w:val="0"/>
          <w:szCs w:val="32"/>
        </w:rPr>
        <w:t>资助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金额</w:t>
      </w:r>
      <w:r>
        <w:rPr>
          <w:rFonts w:hint="eastAsia" w:ascii="仿宋_GB2312" w:hAnsi="宋体" w:cs="宋体"/>
          <w:kern w:val="0"/>
          <w:szCs w:val="32"/>
        </w:rPr>
        <w:t>不超过100万元</w:t>
      </w:r>
      <w:r>
        <w:rPr>
          <w:rFonts w:hint="eastAsia" w:ascii="仿宋_GB2312" w:hAnsi="宋体" w:cs="宋体"/>
          <w:kern w:val="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五、申报条件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（一）符合财政部、商务部《外经贸发展专项资金管理办法》第十一条所规定的基本条件：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1.在深圳市行政区域内依法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注册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独立法人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资格的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、社会组织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　</w:t>
      </w:r>
    </w:p>
    <w:p>
      <w:pPr>
        <w:widowControl/>
        <w:shd w:val="clear" w:color="auto" w:fill="FFFFFF"/>
        <w:spacing w:line="560" w:lineRule="exact"/>
        <w:ind w:firstLine="576" w:firstLineChars="200"/>
        <w:rPr>
          <w:rFonts w:ascii="仿宋_GB2312"/>
          <w:color w:val="auto"/>
          <w:szCs w:val="32"/>
        </w:rPr>
      </w:pPr>
      <w:r>
        <w:rPr>
          <w:rFonts w:hint="eastAsia" w:ascii="仿宋_GB2312" w:hAnsi="仿宋"/>
          <w:spacing w:val="-16"/>
          <w:szCs w:val="32"/>
        </w:rPr>
        <w:t>2.</w:t>
      </w:r>
      <w:r>
        <w:rPr>
          <w:rFonts w:hint="eastAsia" w:ascii="仿宋_GB2312"/>
          <w:szCs w:val="32"/>
        </w:rPr>
        <w:t>近五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/>
          <w:color w:val="auto"/>
          <w:szCs w:val="32"/>
        </w:rPr>
        <w:t>来（自201</w:t>
      </w:r>
      <w:r>
        <w:rPr>
          <w:rFonts w:hint="eastAsia" w:ascii="仿宋_GB2312"/>
          <w:color w:val="auto"/>
          <w:szCs w:val="32"/>
          <w:lang w:val="en-US" w:eastAsia="zh-CN"/>
        </w:rPr>
        <w:t>6</w:t>
      </w:r>
      <w:r>
        <w:rPr>
          <w:rFonts w:hint="eastAsia" w:ascii="仿宋_GB2312"/>
          <w:color w:val="auto"/>
          <w:szCs w:val="32"/>
        </w:rPr>
        <w:t>年起）无严重违法违规行为，未拖欠应缴还的财政性资金，持续诚信合规经营，</w:t>
      </w:r>
      <w:r>
        <w:rPr>
          <w:rFonts w:hint="eastAsia" w:ascii="仿宋_GB2312" w:hAnsi="仿宋_GB2312" w:cs="仿宋_GB2312"/>
          <w:color w:val="auto"/>
          <w:szCs w:val="32"/>
        </w:rPr>
        <w:t>未被国家、省、市相关部门列入失信联合惩戒对象名单</w:t>
      </w:r>
      <w:r>
        <w:rPr>
          <w:rFonts w:hint="eastAsia" w:ascii="仿宋_GB2312"/>
          <w:color w:val="auto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/>
          <w:color w:val="auto"/>
          <w:szCs w:val="32"/>
          <w:lang w:eastAsia="zh-CN"/>
        </w:rPr>
      </w:pPr>
      <w:r>
        <w:rPr>
          <w:rFonts w:hint="eastAsia" w:ascii="仿宋_GB2312" w:hAnsi="仿宋"/>
          <w:color w:val="auto"/>
          <w:szCs w:val="32"/>
        </w:rPr>
        <w:t>3.</w:t>
      </w:r>
      <w:r>
        <w:rPr>
          <w:rFonts w:ascii="仿宋_GB2312" w:hAnsi="仿宋"/>
          <w:color w:val="auto"/>
          <w:szCs w:val="32"/>
        </w:rPr>
        <w:t>按</w:t>
      </w:r>
      <w:r>
        <w:rPr>
          <w:rFonts w:hint="eastAsia" w:ascii="仿宋_GB2312" w:hAnsi="仿宋"/>
          <w:color w:val="auto"/>
          <w:szCs w:val="32"/>
        </w:rPr>
        <w:t>规定</w:t>
      </w:r>
      <w:r>
        <w:rPr>
          <w:rFonts w:hint="eastAsia" w:ascii="仿宋_GB2312"/>
          <w:color w:val="auto"/>
          <w:szCs w:val="32"/>
        </w:rPr>
        <w:t>提供活动信息报送和活动统计数据</w:t>
      </w:r>
      <w:r>
        <w:rPr>
          <w:rFonts w:hint="eastAsia" w:ascii="仿宋_GB2312"/>
          <w:color w:val="auto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不可以同一事项重复或多头申报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财政专项资金，确因政策允许的，应当在申报材料中标明并注明原因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（二）活动执行的时间在202</w:t>
      </w:r>
      <w:r>
        <w:rPr>
          <w:rFonts w:hint="eastAsia" w:ascii="仿宋_GB2312"/>
          <w:color w:val="auto"/>
          <w:szCs w:val="32"/>
          <w:lang w:val="en-US" w:eastAsia="zh-CN"/>
        </w:rPr>
        <w:t>1</w:t>
      </w:r>
      <w:r>
        <w:rPr>
          <w:rFonts w:hint="eastAsia" w:ascii="仿宋_GB2312"/>
          <w:color w:val="auto"/>
          <w:szCs w:val="32"/>
        </w:rPr>
        <w:t>年11月5日-10日第</w:t>
      </w:r>
      <w:r>
        <w:rPr>
          <w:rFonts w:hint="eastAsia" w:ascii="仿宋_GB2312"/>
          <w:color w:val="auto"/>
          <w:szCs w:val="32"/>
          <w:lang w:val="en-US" w:eastAsia="zh-CN"/>
        </w:rPr>
        <w:t>四</w:t>
      </w:r>
      <w:r>
        <w:rPr>
          <w:rFonts w:hint="eastAsia" w:ascii="仿宋_GB2312"/>
          <w:color w:val="auto"/>
          <w:szCs w:val="32"/>
        </w:rPr>
        <w:t>届进口博览会举办期间，举办地点在上海市内。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（三）活动参加人数不低于100人。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（四）申报单位主体需与活动主办方、合同协议和费用单据主体保持一致。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六</w:t>
      </w:r>
      <w:r>
        <w:rPr>
          <w:rFonts w:hint="eastAsia" w:ascii="黑体" w:hAnsi="黑体" w:eastAsia="黑体"/>
          <w:szCs w:val="32"/>
        </w:rPr>
        <w:t>、申请材料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（一）登录广东政务服务网</w:t>
      </w:r>
      <w:r>
        <w:rPr>
          <w:rFonts w:hint="eastAsia"/>
          <w:color w:val="000000"/>
          <w:szCs w:val="32"/>
        </w:rPr>
        <w:t>（网址：http://www.gdzwfw.gov.cn/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）—深圳市—市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商务局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—搜索中国国际进口博览会活动事项，在线填报申请书，提供通过该系统打印的申请书纸质文件原件；</w:t>
      </w:r>
    </w:p>
    <w:p>
      <w:pPr>
        <w:pStyle w:val="4"/>
        <w:widowControl/>
        <w:wordWrap w:val="0"/>
        <w:spacing w:beforeAutospacing="0" w:afterAutospacing="0" w:line="560" w:lineRule="exact"/>
        <w:ind w:firstLine="640"/>
        <w:jc w:val="both"/>
        <w:rPr>
          <w:rFonts w:ascii="仿宋_GB2312" w:hAnsi="宋体" w:cs="宋体"/>
          <w:bCs/>
          <w:color w:val="000000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（二）</w:t>
      </w:r>
      <w:r>
        <w:rPr>
          <w:rFonts w:hint="eastAsia" w:ascii="仿宋_GB2312" w:hAnsi="宋体" w:cs="宋体"/>
          <w:bCs/>
          <w:color w:val="000000"/>
          <w:sz w:val="32"/>
          <w:szCs w:val="32"/>
        </w:rPr>
        <w:t>企业法人提供营业执照副本或营业执照复印件，社会组织提供社会组织登记证复印件；</w:t>
      </w:r>
    </w:p>
    <w:p>
      <w:pPr>
        <w:pStyle w:val="4"/>
        <w:widowControl/>
        <w:wordWrap w:val="0"/>
        <w:spacing w:beforeAutospacing="0" w:afterAutospacing="0" w:line="560" w:lineRule="exact"/>
        <w:ind w:firstLine="640"/>
        <w:jc w:val="both"/>
        <w:rPr>
          <w:rFonts w:ascii="仿宋_GB2312" w:hAnsi="宋体" w:cs="宋体"/>
          <w:bCs/>
          <w:color w:val="000000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（三）活动方案，方案内容主要包括活动主题、人员规模和参会主要单位、活动方式及议程等部分；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（四）活动总结报告，报告内容主要包括活动基本情况、主要成效、绩效评估以及下一步建议等；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（五）场地租赁费用、场地布置费用、设备租赁费用、翻译费用、承办费用、宣传推广费用的合同协议复印件，以及发票或单据复印件（验原件收复印件）；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（六）活动结算清单，列出实际发生费用；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（七）</w:t>
      </w:r>
      <w:r>
        <w:rPr>
          <w:rFonts w:hint="eastAsia" w:ascii="仿宋_GB2312"/>
          <w:sz w:val="32"/>
          <w:szCs w:val="32"/>
        </w:rPr>
        <w:t>邀请企业名单（需包括所在企业名称、姓名、职务、有效联系方式等信息）；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 w:hAnsi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（八）</w:t>
      </w:r>
      <w:r>
        <w:rPr>
          <w:rFonts w:hint="eastAsia" w:ascii="仿宋_GB2312" w:hAnsi="黑体"/>
          <w:sz w:val="32"/>
          <w:szCs w:val="32"/>
        </w:rPr>
        <w:t>活动现场照片A4纸打印或视频光盘；</w:t>
      </w:r>
    </w:p>
    <w:p>
      <w:pPr>
        <w:spacing w:line="56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（九）活动组织、宣传推广或媒体相关报道材料复印件。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以上材料均需加盖企业公章，多页的还需加盖骑缝公章</w:t>
      </w:r>
      <w:r>
        <w:rPr>
          <w:rFonts w:hint="eastAsia" w:ascii="仿宋_GB2312" w:hAnsi="宋体"/>
          <w:sz w:val="32"/>
          <w:szCs w:val="32"/>
          <w:lang w:eastAsia="zh-CN"/>
        </w:rPr>
        <w:t>。</w:t>
      </w:r>
      <w:r>
        <w:rPr>
          <w:rFonts w:hint="eastAsia" w:ascii="仿宋_GB2312" w:hAnsi="宋体"/>
          <w:sz w:val="32"/>
          <w:szCs w:val="32"/>
        </w:rPr>
        <w:t>一式两份，A4纸正反面打印/复印，非空白页需（含封面）连续编写页码，装订成册（胶装）。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、申请表格</w:t>
      </w:r>
    </w:p>
    <w:p>
      <w:pPr>
        <w:spacing w:line="560" w:lineRule="exact"/>
        <w:ind w:firstLine="640" w:firstLineChars="200"/>
        <w:rPr>
          <w:rFonts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本指南第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六</w:t>
      </w:r>
      <w:r>
        <w:rPr>
          <w:rFonts w:hint="eastAsia" w:ascii="仿宋_GB2312" w:hAnsi="宋体" w:cs="宋体"/>
          <w:color w:val="000000"/>
          <w:kern w:val="0"/>
          <w:szCs w:val="32"/>
        </w:rPr>
        <w:t>条（一）所规定申请书。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黑体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、受理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信息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（一）受理机关：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深圳市商务局。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（二）受理时间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hint="default" w:ascii="仿宋_GB2312" w:hAnsi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网络填报受理时间：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bookmarkStart w:id="0" w:name="_GoBack"/>
      <w:bookmarkEnd w:id="0"/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18:00；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纸质材料受理时间：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7:45；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申报单位在上述规定时间内在线填报、提交材料，逾期不予受理。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（三）受理地点</w:t>
      </w:r>
      <w: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深圳市行政服务大厅西厅综合窗口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申报咨询电话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0755-881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02106，0755-88127486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技术咨询电话：0755-25331216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、申请决定机关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深圳市商务局</w:t>
      </w:r>
    </w:p>
    <w:p>
      <w:pPr>
        <w:pStyle w:val="4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十、办理流程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网上申报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提交申请材料——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市商务局开展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形式审查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实质审查（资质审查、统计数据核查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失信联合惩戒核查等）——专项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根据需要征求有关单位意见（是否重复资助、是否拖欠应缴还的财政性资金、是否存在其他重大违法违规行为等）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定资助计划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社会公示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核定资助计划——办理拨款手续——</w:t>
      </w:r>
      <w:r>
        <w:rPr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拨付资金。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、办理时限</w:t>
      </w:r>
    </w:p>
    <w:p>
      <w:pPr>
        <w:widowControl/>
        <w:spacing w:line="560" w:lineRule="exact"/>
        <w:ind w:firstLine="640" w:firstLineChars="200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宋体"/>
          <w:color w:val="000000"/>
          <w:szCs w:val="32"/>
        </w:rPr>
        <w:t>财政部、商</w:t>
      </w:r>
      <w:r>
        <w:rPr>
          <w:rFonts w:hint="eastAsia" w:ascii="仿宋_GB2312" w:hAnsi="宋体"/>
          <w:color w:val="auto"/>
          <w:szCs w:val="32"/>
        </w:rPr>
        <w:t>务部</w:t>
      </w:r>
      <w:r>
        <w:rPr>
          <w:rFonts w:hint="eastAsia" w:ascii="仿宋_GB2312"/>
          <w:color w:val="auto"/>
          <w:szCs w:val="32"/>
        </w:rPr>
        <w:t>202</w:t>
      </w:r>
      <w:r>
        <w:rPr>
          <w:rFonts w:hint="eastAsia" w:ascii="仿宋_GB2312"/>
          <w:color w:val="auto"/>
          <w:szCs w:val="32"/>
          <w:lang w:val="en-US" w:eastAsia="zh-CN"/>
        </w:rPr>
        <w:t>1</w:t>
      </w:r>
      <w:r>
        <w:rPr>
          <w:rFonts w:hint="eastAsia" w:ascii="仿宋_GB2312"/>
          <w:color w:val="auto"/>
          <w:szCs w:val="32"/>
        </w:rPr>
        <w:t>年度工作通知</w:t>
      </w:r>
      <w:r>
        <w:rPr>
          <w:rFonts w:hint="eastAsia" w:ascii="仿宋_GB2312"/>
          <w:color w:val="000000"/>
          <w:szCs w:val="32"/>
        </w:rPr>
        <w:t>要求办理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十三、证件及有效期限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证件：无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有效期限：无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十四、证件的法律效力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无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十五、收费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无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十六、年审或年检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十七、监督检查和补充说明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（一）获得资金支持的申报单位，应当按照国家有关财务、会计制度的规定进行账务处理，严格按照规定使用资金，并自觉接受财政、商务、审计等部门的监督检查，配合商务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部门开展业务、资金统计监测，妥善保管项目申报材料。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二）申报单位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部门收回资金。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（三）已经资助过的项目不得重复申报；同一单位建设内容相同或部分相同项目、同一笔费用支出不得向有关部门多头申报。经核实属重复申报或多头申报的项目，将取消该单位的申报资格并追究责任。</w:t>
      </w:r>
    </w:p>
    <w:p>
      <w:pPr>
        <w:widowControl/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资助拨款按照申请书银行账户信息办理。因</w:t>
      </w:r>
      <w:r>
        <w:rPr>
          <w:rFonts w:hint="eastAsia" w:ascii="仿宋_GB2312" w:hAnsi="仿宋_GB2312" w:eastAsia="仿宋_GB2312" w:cs="宋体"/>
          <w:strike w:val="0"/>
          <w:dstrike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申报单位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名称变化、账户信息更改或</w:t>
      </w:r>
      <w:r>
        <w:rPr>
          <w:rFonts w:hint="eastAsia" w:ascii="仿宋_GB2312" w:hAnsi="仿宋_GB2312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填写错误等原因导致拨付不成功的，原则上予以办理一次拨款信息更改并再次拨付。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应当按照要求办理资金拨款手续。</w:t>
      </w:r>
    </w:p>
    <w:p>
      <w:pPr>
        <w:snapToGrid w:val="0"/>
        <w:spacing w:beforeLines="0" w:afterLines="0" w:line="560" w:lineRule="exact"/>
        <w:ind w:firstLine="640" w:firstLineChars="200"/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）我局从未委托任何单位和个人为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代理专项资金扶持计划项目申报事宜。请相关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自主申报。我局将严格按照有关标准和程序受理申请，不收取任何费用。如有任何中介机构和个人假借我局和工作人员名义向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收取费用的，请知情者即向我局举报。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cs="仿宋_GB2312"/>
        <w:sz w:val="32"/>
        <w:szCs w:val="32"/>
      </w:rPr>
      <w:id w:val="94993023"/>
    </w:sdtPr>
    <w:sdtEndPr>
      <w:rPr>
        <w:rFonts w:hint="eastAsia" w:ascii="仿宋_GB2312" w:hAnsi="仿宋_GB2312" w:cs="仿宋_GB2312"/>
        <w:sz w:val="32"/>
        <w:szCs w:val="32"/>
      </w:rPr>
    </w:sdtEndPr>
    <w:sdtContent>
      <w:p>
        <w:pPr>
          <w:pStyle w:val="2"/>
          <w:jc w:val="right"/>
          <w:rPr>
            <w:rFonts w:hint="eastAsia" w:ascii="仿宋_GB2312" w:hAnsi="仿宋_GB2312" w:cs="仿宋_GB2312"/>
            <w:sz w:val="32"/>
            <w:szCs w:val="32"/>
          </w:rPr>
        </w:pPr>
        <w:r>
          <w:rPr>
            <w:rFonts w:hint="eastAsia" w:ascii="仿宋_GB2312" w:hAnsi="仿宋_GB2312" w:cs="仿宋_GB2312"/>
            <w:sz w:val="32"/>
            <w:szCs w:val="32"/>
          </w:rPr>
          <w:fldChar w:fldCharType="begin"/>
        </w:r>
        <w:r>
          <w:rPr>
            <w:rFonts w:hint="eastAsia" w:ascii="仿宋_GB2312" w:hAnsi="仿宋_GB2312" w:cs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hAnsi="仿宋_GB2312" w:cs="仿宋_GB2312"/>
            <w:sz w:val="32"/>
            <w:szCs w:val="32"/>
          </w:rPr>
          <w:fldChar w:fldCharType="separate"/>
        </w:r>
        <w:r>
          <w:rPr>
            <w:rFonts w:hint="eastAsia" w:ascii="仿宋_GB2312" w:hAnsi="仿宋_GB2312" w:cs="仿宋_GB2312"/>
            <w:sz w:val="32"/>
            <w:szCs w:val="32"/>
            <w:lang w:val="zh-CN"/>
          </w:rPr>
          <w:t>-</w:t>
        </w:r>
        <w:r>
          <w:rPr>
            <w:rFonts w:hint="eastAsia" w:ascii="仿宋_GB2312" w:hAnsi="仿宋_GB2312" w:cs="仿宋_GB2312"/>
            <w:sz w:val="32"/>
            <w:szCs w:val="32"/>
          </w:rPr>
          <w:t xml:space="preserve"> 1 -</w:t>
        </w:r>
        <w:r>
          <w:rPr>
            <w:rFonts w:hint="eastAsia" w:ascii="仿宋_GB2312" w:hAnsi="仿宋_GB2312" w:cs="仿宋_GB2312"/>
            <w:sz w:val="32"/>
            <w:szCs w:val="32"/>
          </w:rPr>
          <w:fldChar w:fldCharType="end"/>
        </w:r>
      </w:p>
    </w:sdtContent>
  </w:sdt>
  <w:p>
    <w:pPr>
      <w:pStyle w:val="2"/>
      <w:rPr>
        <w:rFonts w:hint="eastAsia" w:ascii="仿宋_GB2312" w:hAnsi="仿宋_GB2312" w:cs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csfile.szoa.sz.gov.cn//file/download?md5Path=e5cfddb6bf109409b83978c601389929@23153&amp;webOffice=1&amp;identityId=5B6A01A77E52AAFEA7DD26D2484BA8CA&amp;token=850a4c24c39f405baf20f3f53b023ac5&amp;identityId=5B6A01A77E52AAFEA7DD26D2484BA8CA&amp;wjbh=B202017854&amp;hddyid=LCA010001_HD_01&amp;fileSrcName=2020_10_23_16_17_9_4A95B611A6ACB211ABDB329F656665DB.docx"/>
  </w:docVars>
  <w:rsids>
    <w:rsidRoot w:val="67557909"/>
    <w:rsid w:val="00095FF0"/>
    <w:rsid w:val="00432696"/>
    <w:rsid w:val="00AD5ADF"/>
    <w:rsid w:val="00DC0DDD"/>
    <w:rsid w:val="00E178D1"/>
    <w:rsid w:val="08EA42BB"/>
    <w:rsid w:val="0E45273C"/>
    <w:rsid w:val="0EC33BAB"/>
    <w:rsid w:val="10160662"/>
    <w:rsid w:val="107027E6"/>
    <w:rsid w:val="11604619"/>
    <w:rsid w:val="118D558D"/>
    <w:rsid w:val="129544C3"/>
    <w:rsid w:val="13AC56D8"/>
    <w:rsid w:val="18C057F8"/>
    <w:rsid w:val="1AA21D33"/>
    <w:rsid w:val="1D1B63D3"/>
    <w:rsid w:val="1E1150FF"/>
    <w:rsid w:val="1F7010AA"/>
    <w:rsid w:val="2265260D"/>
    <w:rsid w:val="22A413E9"/>
    <w:rsid w:val="22DE2A38"/>
    <w:rsid w:val="255C6620"/>
    <w:rsid w:val="263E4936"/>
    <w:rsid w:val="267E0918"/>
    <w:rsid w:val="2DE61EFF"/>
    <w:rsid w:val="2F7D406C"/>
    <w:rsid w:val="316C15ED"/>
    <w:rsid w:val="33E60DFF"/>
    <w:rsid w:val="354104CA"/>
    <w:rsid w:val="354F1BAD"/>
    <w:rsid w:val="35792A02"/>
    <w:rsid w:val="36F94F2B"/>
    <w:rsid w:val="38292ED6"/>
    <w:rsid w:val="3B633A2A"/>
    <w:rsid w:val="3E6B697F"/>
    <w:rsid w:val="43095091"/>
    <w:rsid w:val="45407CC9"/>
    <w:rsid w:val="456D6C0B"/>
    <w:rsid w:val="48710C5B"/>
    <w:rsid w:val="49E93A20"/>
    <w:rsid w:val="4B92520C"/>
    <w:rsid w:val="4D9E69A9"/>
    <w:rsid w:val="4DBA25E7"/>
    <w:rsid w:val="562764C5"/>
    <w:rsid w:val="58F522F8"/>
    <w:rsid w:val="595E0264"/>
    <w:rsid w:val="59703664"/>
    <w:rsid w:val="5BA512E2"/>
    <w:rsid w:val="5BAD6C85"/>
    <w:rsid w:val="5BB652EC"/>
    <w:rsid w:val="5CC906F8"/>
    <w:rsid w:val="5E6110AA"/>
    <w:rsid w:val="5E712D98"/>
    <w:rsid w:val="5F656742"/>
    <w:rsid w:val="5FBB52ED"/>
    <w:rsid w:val="632E6255"/>
    <w:rsid w:val="63B5018C"/>
    <w:rsid w:val="64E10FB9"/>
    <w:rsid w:val="65121695"/>
    <w:rsid w:val="653D0F8F"/>
    <w:rsid w:val="67557909"/>
    <w:rsid w:val="69B87498"/>
    <w:rsid w:val="6B2445EF"/>
    <w:rsid w:val="6D6A2E18"/>
    <w:rsid w:val="6F8E6EA5"/>
    <w:rsid w:val="701658CB"/>
    <w:rsid w:val="709E6527"/>
    <w:rsid w:val="74A60341"/>
    <w:rsid w:val="75F75945"/>
    <w:rsid w:val="783D23D9"/>
    <w:rsid w:val="789036C8"/>
    <w:rsid w:val="7A7F4B9D"/>
    <w:rsid w:val="7AF529F4"/>
    <w:rsid w:val="7B1D40DB"/>
    <w:rsid w:val="7BF33D4F"/>
    <w:rsid w:val="7DD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384</Words>
  <Characters>2193</Characters>
  <Lines>18</Lines>
  <Paragraphs>5</Paragraphs>
  <TotalTime>0</TotalTime>
  <ScaleCrop>false</ScaleCrop>
  <LinksUpToDate>false</LinksUpToDate>
  <CharactersWithSpaces>2572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2020-10-23T08:23:00Z</dcterms:created>
  <dc:creator>叶花</dc:creator>
  <cp:lastModifiedBy>曾晓斯</cp:lastModifiedBy>
  <dcterms:modified xsi:type="dcterms:W3CDTF">2021-10-12T07:25:10Z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