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720" w:lineRule="exact"/>
        <w:jc w:val="center"/>
        <w:rPr>
          <w:rFonts w:hint="eastAsia" w:ascii="方正小标宋简体" w:eastAsia="方正小标宋简体" w:hAnsiTheme="minorHAnsi" w:cstheme="minorBidi"/>
          <w:spacing w:val="0"/>
          <w:sz w:val="44"/>
          <w:szCs w:val="44"/>
          <w:lang w:val="zh-CN" w:eastAsia="zh-CN"/>
        </w:rPr>
      </w:pPr>
      <w:r>
        <w:rPr>
          <w:rFonts w:hint="eastAsia" w:ascii="黑体" w:hAnsi="黑体" w:eastAsia="黑体" w:cs="黑体"/>
          <w:sz w:val="32"/>
          <w:szCs w:val="32"/>
          <w:lang w:val="en-US" w:eastAsia="zh-CN"/>
        </w:rPr>
        <w:t xml:space="preserve"> </w:t>
      </w:r>
      <w:r>
        <w:rPr>
          <w:rFonts w:hint="eastAsia" w:ascii="方正小标宋简体" w:eastAsia="方正小标宋简体" w:hAnsiTheme="minorHAnsi" w:cstheme="minorBidi"/>
          <w:spacing w:val="0"/>
          <w:sz w:val="44"/>
          <w:szCs w:val="44"/>
          <w:lang w:val="zh-CN" w:eastAsia="zh-CN"/>
        </w:rPr>
        <w:t>评分细则表</w:t>
      </w:r>
      <w:bookmarkStart w:id="1" w:name="_GoBack"/>
      <w:bookmarkEnd w:id="1"/>
    </w:p>
    <w:p>
      <w:pPr>
        <w:pStyle w:val="2"/>
        <w:rPr>
          <w:rFonts w:hint="eastAsia"/>
          <w:lang w:val="zh-CN" w:eastAsia="zh-CN"/>
        </w:rPr>
      </w:pPr>
    </w:p>
    <w:tbl>
      <w:tblPr>
        <w:tblStyle w:val="7"/>
        <w:tblW w:w="11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855"/>
        <w:gridCol w:w="1680"/>
        <w:gridCol w:w="6191"/>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1641"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评分因素</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分值</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评分内容</w:t>
            </w:r>
          </w:p>
        </w:tc>
        <w:tc>
          <w:tcPr>
            <w:tcW w:w="6191"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评分标准</w:t>
            </w:r>
          </w:p>
        </w:tc>
        <w:tc>
          <w:tcPr>
            <w:tcW w:w="811"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641"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报价部分</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A</w:t>
            </w:r>
            <w:r>
              <w:rPr>
                <w:rFonts w:hint="eastAsia" w:ascii="仿宋_GB2312" w:hAnsi="仿宋_GB2312" w:eastAsia="仿宋_GB2312" w:cs="仿宋_GB2312"/>
                <w:bCs/>
                <w:sz w:val="24"/>
                <w:szCs w:val="24"/>
                <w:lang w:eastAsia="zh-CN"/>
              </w:rPr>
              <w:t>）</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30</w:t>
            </w:r>
            <w:r>
              <w:rPr>
                <w:rFonts w:hint="eastAsia" w:ascii="仿宋_GB2312" w:hAnsi="仿宋_GB2312" w:eastAsia="仿宋_GB2312" w:cs="仿宋_GB2312"/>
                <w:bCs/>
                <w:sz w:val="24"/>
                <w:szCs w:val="24"/>
              </w:rPr>
              <w:t>分</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报价得分</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30</w:t>
            </w:r>
            <w:r>
              <w:rPr>
                <w:rFonts w:hint="eastAsia" w:ascii="仿宋_GB2312" w:hAnsi="仿宋_GB2312" w:eastAsia="仿宋_GB2312" w:cs="仿宋_GB2312"/>
                <w:bCs/>
                <w:sz w:val="24"/>
                <w:szCs w:val="24"/>
              </w:rPr>
              <w:t>分）</w:t>
            </w:r>
          </w:p>
        </w:tc>
        <w:tc>
          <w:tcPr>
            <w:tcW w:w="6191" w:type="dxa"/>
          </w:tcPr>
          <w:p>
            <w:pPr>
              <w:keepNext w:val="0"/>
              <w:keepLines w:val="0"/>
              <w:pageBreakBefore w:val="0"/>
              <w:widowControl/>
              <w:kinsoku/>
              <w:wordWrap/>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Cs/>
                <w:sz w:val="24"/>
                <w:szCs w:val="24"/>
                <w:lang w:eastAsia="zh-CN"/>
              </w:rPr>
            </w:pPr>
            <w:r>
              <w:rPr>
                <w:rFonts w:hint="eastAsia" w:ascii="仿宋_GB2312" w:hAnsi="宋体" w:eastAsia="仿宋_GB2312" w:cs="仿宋"/>
                <w:kern w:val="2"/>
                <w:sz w:val="21"/>
                <w:szCs w:val="21"/>
                <w:lang w:val="en-US" w:eastAsia="zh-CN" w:bidi="ar-SA"/>
              </w:rPr>
              <w:t>报价得分按照低价优先法计算，即满足采购招标需求且方案报价最低的投标人报价为评标基准价，其价格分为满分，其他供应商的价格得分统一按照下列公式计算：报价得分=（评标基准价／方案报价）×30</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1"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技术部分</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(B)</w:t>
            </w:r>
          </w:p>
        </w:tc>
        <w:tc>
          <w:tcPr>
            <w:tcW w:w="855"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40</w:t>
            </w:r>
            <w:r>
              <w:rPr>
                <w:rFonts w:hint="eastAsia" w:ascii="仿宋_GB2312" w:hAnsi="仿宋_GB2312" w:eastAsia="仿宋_GB2312" w:cs="仿宋_GB2312"/>
                <w:bCs/>
                <w:sz w:val="24"/>
                <w:szCs w:val="24"/>
              </w:rPr>
              <w:t>分</w:t>
            </w: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宋体" w:eastAsia="仿宋_GB2312" w:cs="仿宋"/>
                <w:kern w:val="2"/>
                <w:sz w:val="24"/>
                <w:szCs w:val="24"/>
                <w:lang w:val="en-US" w:eastAsia="zh-CN" w:bidi="ar-SA"/>
              </w:rPr>
            </w:pPr>
            <w:r>
              <w:rPr>
                <w:rFonts w:hint="eastAsia" w:ascii="仿宋_GB2312" w:hAnsi="仿宋_GB2312" w:eastAsia="仿宋_GB2312" w:cs="仿宋_GB2312"/>
                <w:bCs/>
                <w:sz w:val="24"/>
                <w:szCs w:val="24"/>
              </w:rPr>
              <w:t>项目</w:t>
            </w:r>
            <w:r>
              <w:rPr>
                <w:rFonts w:hint="eastAsia" w:ascii="仿宋_GB2312" w:hAnsi="宋体" w:eastAsia="仿宋_GB2312" w:cs="仿宋"/>
                <w:kern w:val="2"/>
                <w:sz w:val="24"/>
                <w:szCs w:val="24"/>
                <w:lang w:val="en-US" w:eastAsia="zh-CN" w:bidi="ar-SA"/>
              </w:rPr>
              <w:t>方案</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eastAsia="zh-CN"/>
              </w:rPr>
            </w:pPr>
            <w:r>
              <w:rPr>
                <w:rFonts w:hint="eastAsia" w:ascii="仿宋_GB2312" w:hAnsi="宋体" w:eastAsia="仿宋_GB2312" w:cs="仿宋"/>
                <w:kern w:val="2"/>
                <w:sz w:val="24"/>
                <w:szCs w:val="24"/>
                <w:lang w:val="en-US" w:eastAsia="zh-CN" w:bidi="ar-SA"/>
              </w:rPr>
              <w:t>（15分</w:t>
            </w:r>
            <w:r>
              <w:rPr>
                <w:rFonts w:hint="eastAsia" w:ascii="仿宋_GB2312" w:hAnsi="仿宋_GB2312" w:eastAsia="仿宋_GB2312" w:cs="仿宋_GB2312"/>
                <w:bCs/>
                <w:sz w:val="24"/>
                <w:szCs w:val="24"/>
                <w:lang w:eastAsia="zh-CN"/>
              </w:rPr>
              <w:t>）</w:t>
            </w:r>
          </w:p>
        </w:tc>
        <w:tc>
          <w:tcPr>
            <w:tcW w:w="6191" w:type="dxa"/>
          </w:tcPr>
          <w:p>
            <w:pPr>
              <w:pStyle w:val="3"/>
              <w:adjustRightInd w:val="0"/>
              <w:snapToGrid w:val="0"/>
              <w:jc w:val="left"/>
              <w:rPr>
                <w:rFonts w:hint="eastAsia" w:ascii="仿宋_GB2312" w:hAnsi="宋体" w:eastAsia="仿宋_GB2312" w:cs="仿宋"/>
                <w:sz w:val="21"/>
                <w:szCs w:val="21"/>
              </w:rPr>
            </w:pPr>
            <w:r>
              <w:rPr>
                <w:rFonts w:hint="eastAsia" w:ascii="仿宋_GB2312" w:hAnsi="宋体" w:eastAsia="仿宋_GB2312" w:cs="仿宋"/>
                <w:sz w:val="21"/>
                <w:szCs w:val="21"/>
              </w:rPr>
              <w:t>项目方案具有项目总体概述，根据业务需求提供符合要求的方案，方案要有针对性、有侧重点、条理清晰、表述完整；内容要全面、准确，且具有可操作性。</w:t>
            </w:r>
          </w:p>
          <w:p>
            <w:pPr>
              <w:pStyle w:val="3"/>
              <w:adjustRightInd w:val="0"/>
              <w:snapToGrid w:val="0"/>
              <w:jc w:val="left"/>
              <w:rPr>
                <w:rFonts w:hint="eastAsia" w:ascii="仿宋_GB2312" w:hAnsi="宋体" w:eastAsia="仿宋_GB2312" w:cs="仿宋"/>
                <w:sz w:val="21"/>
                <w:szCs w:val="21"/>
              </w:rPr>
            </w:pPr>
            <w:r>
              <w:rPr>
                <w:rFonts w:hint="eastAsia" w:ascii="仿宋_GB2312" w:hAnsi="宋体" w:eastAsia="仿宋_GB2312" w:cs="仿宋"/>
                <w:sz w:val="21"/>
                <w:szCs w:val="21"/>
              </w:rPr>
              <w:t>在以上内容完整的基础上，根据内容的合理性、实用性进行评分：</w:t>
            </w:r>
          </w:p>
          <w:p>
            <w:pPr>
              <w:pStyle w:val="3"/>
              <w:adjustRightInd w:val="0"/>
              <w:snapToGrid w:val="0"/>
              <w:jc w:val="left"/>
              <w:rPr>
                <w:rFonts w:hint="eastAsia" w:ascii="仿宋_GB2312" w:hAnsi="宋体" w:eastAsia="仿宋_GB2312" w:cs="仿宋"/>
                <w:sz w:val="21"/>
                <w:szCs w:val="21"/>
              </w:rPr>
            </w:pPr>
            <w:r>
              <w:rPr>
                <w:rFonts w:hint="eastAsia" w:ascii="仿宋_GB2312" w:hAnsi="宋体" w:eastAsia="仿宋_GB2312" w:cs="仿宋"/>
                <w:sz w:val="21"/>
                <w:szCs w:val="21"/>
              </w:rPr>
              <w:t>（1）项目方案内容合理全面、实用性强；</w:t>
            </w:r>
          </w:p>
          <w:p>
            <w:pPr>
              <w:pStyle w:val="3"/>
              <w:numPr>
                <w:ilvl w:val="0"/>
                <w:numId w:val="1"/>
              </w:numPr>
              <w:adjustRightInd w:val="0"/>
              <w:snapToGrid w:val="0"/>
              <w:jc w:val="left"/>
              <w:rPr>
                <w:rFonts w:hint="eastAsia" w:ascii="仿宋_GB2312" w:hAnsi="宋体" w:eastAsia="仿宋_GB2312" w:cs="仿宋"/>
                <w:sz w:val="21"/>
                <w:szCs w:val="21"/>
              </w:rPr>
            </w:pPr>
            <w:r>
              <w:rPr>
                <w:rFonts w:hint="eastAsia" w:ascii="仿宋_GB2312" w:hAnsi="宋体" w:eastAsia="仿宋_GB2312" w:cs="仿宋"/>
                <w:sz w:val="21"/>
                <w:szCs w:val="21"/>
              </w:rPr>
              <w:t>项目方案内容具有针对性；</w:t>
            </w:r>
          </w:p>
          <w:p>
            <w:pPr>
              <w:pStyle w:val="3"/>
              <w:numPr>
                <w:ilvl w:val="0"/>
                <w:numId w:val="1"/>
              </w:numPr>
              <w:adjustRightInd w:val="0"/>
              <w:snapToGrid w:val="0"/>
              <w:ind w:left="0" w:leftChars="0" w:firstLine="420" w:firstLineChars="200"/>
              <w:jc w:val="left"/>
              <w:rPr>
                <w:rFonts w:hint="eastAsia" w:ascii="仿宋_GB2312" w:hAnsi="宋体" w:eastAsia="仿宋_GB2312" w:cs="仿宋"/>
                <w:sz w:val="21"/>
                <w:szCs w:val="21"/>
              </w:rPr>
            </w:pPr>
            <w:r>
              <w:rPr>
                <w:rFonts w:hint="eastAsia" w:ascii="仿宋_GB2312" w:hAnsi="宋体" w:eastAsia="仿宋_GB2312" w:cs="仿宋"/>
                <w:sz w:val="21"/>
                <w:szCs w:val="21"/>
              </w:rPr>
              <w:t>项目方案内容具备实用性，可操作性。</w:t>
            </w:r>
          </w:p>
          <w:p>
            <w:pPr>
              <w:pStyle w:val="3"/>
              <w:numPr>
                <w:ilvl w:val="0"/>
                <w:numId w:val="0"/>
              </w:numPr>
              <w:adjustRightInd w:val="0"/>
              <w:snapToGrid w:val="0"/>
              <w:jc w:val="left"/>
              <w:rPr>
                <w:rFonts w:hint="eastAsia" w:ascii="仿宋_GB2312" w:hAnsi="仿宋_GB2312" w:eastAsia="仿宋_GB2312" w:cs="仿宋_GB2312"/>
                <w:bCs/>
                <w:sz w:val="24"/>
                <w:szCs w:val="24"/>
              </w:rPr>
            </w:pPr>
            <w:r>
              <w:rPr>
                <w:rFonts w:hint="eastAsia" w:ascii="仿宋_GB2312" w:hAnsi="宋体" w:eastAsia="仿宋_GB2312" w:cs="仿宋"/>
                <w:sz w:val="21"/>
                <w:szCs w:val="21"/>
              </w:rPr>
              <w:t>符合以上三</w:t>
            </w:r>
            <w:r>
              <w:rPr>
                <w:rFonts w:hint="eastAsia" w:ascii="仿宋_GB2312" w:hAnsi="宋体" w:eastAsia="仿宋_GB2312" w:cs="仿宋"/>
                <w:sz w:val="21"/>
                <w:szCs w:val="21"/>
                <w:lang w:eastAsia="zh-CN"/>
              </w:rPr>
              <w:t>项</w:t>
            </w:r>
            <w:r>
              <w:rPr>
                <w:rFonts w:hint="eastAsia" w:ascii="仿宋_GB2312" w:hAnsi="宋体" w:eastAsia="仿宋_GB2312" w:cs="仿宋"/>
                <w:sz w:val="21"/>
                <w:szCs w:val="21"/>
              </w:rPr>
              <w:t>得15分，符合以上两</w:t>
            </w:r>
            <w:r>
              <w:rPr>
                <w:rFonts w:hint="eastAsia" w:ascii="仿宋_GB2312" w:hAnsi="宋体" w:eastAsia="仿宋_GB2312" w:cs="仿宋"/>
                <w:sz w:val="21"/>
                <w:szCs w:val="21"/>
                <w:lang w:eastAsia="zh-CN"/>
              </w:rPr>
              <w:t>项</w:t>
            </w:r>
            <w:r>
              <w:rPr>
                <w:rFonts w:hint="eastAsia" w:ascii="仿宋_GB2312" w:hAnsi="宋体" w:eastAsia="仿宋_GB2312" w:cs="仿宋"/>
                <w:sz w:val="21"/>
                <w:szCs w:val="21"/>
              </w:rPr>
              <w:t>得</w:t>
            </w:r>
            <w:r>
              <w:rPr>
                <w:rFonts w:hint="eastAsia" w:ascii="仿宋_GB2312" w:hAnsi="宋体" w:eastAsia="仿宋_GB2312" w:cs="仿宋"/>
                <w:sz w:val="21"/>
                <w:szCs w:val="21"/>
                <w:lang w:val="en-US" w:eastAsia="zh-CN"/>
              </w:rPr>
              <w:t>10</w:t>
            </w:r>
            <w:r>
              <w:rPr>
                <w:rFonts w:hint="eastAsia" w:ascii="仿宋_GB2312" w:hAnsi="宋体" w:eastAsia="仿宋_GB2312" w:cs="仿宋"/>
                <w:sz w:val="21"/>
                <w:szCs w:val="21"/>
              </w:rPr>
              <w:t>分，符合以上一</w:t>
            </w:r>
            <w:r>
              <w:rPr>
                <w:rFonts w:hint="eastAsia" w:ascii="仿宋_GB2312" w:hAnsi="宋体" w:eastAsia="仿宋_GB2312" w:cs="仿宋"/>
                <w:sz w:val="21"/>
                <w:szCs w:val="21"/>
                <w:lang w:eastAsia="zh-CN"/>
              </w:rPr>
              <w:t>项</w:t>
            </w:r>
            <w:r>
              <w:rPr>
                <w:rFonts w:hint="eastAsia" w:ascii="仿宋_GB2312" w:hAnsi="宋体" w:eastAsia="仿宋_GB2312" w:cs="仿宋"/>
                <w:sz w:val="21"/>
                <w:szCs w:val="21"/>
              </w:rPr>
              <w:t>得</w:t>
            </w:r>
            <w:r>
              <w:rPr>
                <w:rFonts w:hint="eastAsia" w:ascii="仿宋_GB2312" w:hAnsi="宋体" w:eastAsia="仿宋_GB2312" w:cs="仿宋"/>
                <w:sz w:val="21"/>
                <w:szCs w:val="21"/>
                <w:lang w:val="en-US" w:eastAsia="zh-CN"/>
              </w:rPr>
              <w:t>5</w:t>
            </w:r>
            <w:r>
              <w:rPr>
                <w:rFonts w:hint="eastAsia" w:ascii="仿宋_GB2312" w:hAnsi="宋体" w:eastAsia="仿宋_GB2312" w:cs="仿宋"/>
                <w:sz w:val="21"/>
                <w:szCs w:val="21"/>
              </w:rPr>
              <w:t>分，不符合上述情况得0分。</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1641"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lang w:val="en-US" w:eastAsia="zh-CN"/>
              </w:rPr>
            </w:pP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技术满足度</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20分</w:t>
            </w:r>
            <w:r>
              <w:rPr>
                <w:rFonts w:hint="eastAsia" w:ascii="仿宋_GB2312" w:hAnsi="仿宋_GB2312" w:eastAsia="仿宋_GB2312" w:cs="仿宋_GB2312"/>
                <w:bCs/>
                <w:sz w:val="24"/>
                <w:szCs w:val="24"/>
                <w:lang w:eastAsia="zh-CN"/>
              </w:rPr>
              <w:t>）</w:t>
            </w:r>
          </w:p>
        </w:tc>
        <w:tc>
          <w:tcPr>
            <w:tcW w:w="6191" w:type="dxa"/>
          </w:tcPr>
          <w:p>
            <w:pPr>
              <w:rPr>
                <w:rFonts w:hint="eastAsia" w:ascii="仿宋_GB2312" w:hAnsi="宋体" w:eastAsia="仿宋_GB2312" w:cs="仿宋"/>
                <w:kern w:val="0"/>
                <w:szCs w:val="21"/>
              </w:rPr>
            </w:pPr>
            <w:r>
              <w:rPr>
                <w:rFonts w:hint="eastAsia" w:ascii="仿宋_GB2312" w:hAnsi="宋体" w:eastAsia="仿宋_GB2312" w:cs="宋体"/>
                <w:szCs w:val="21"/>
                <w:lang w:val="en-US" w:eastAsia="zh-CN"/>
              </w:rPr>
              <w:t>1.</w:t>
            </w:r>
            <w:r>
              <w:rPr>
                <w:rFonts w:hint="eastAsia" w:ascii="仿宋_GB2312" w:hAnsi="宋体" w:eastAsia="仿宋_GB2312" w:cs="宋体"/>
                <w:szCs w:val="21"/>
              </w:rPr>
              <w:t>提供产品要满足技术参</w:t>
            </w:r>
            <w:r>
              <w:rPr>
                <w:rFonts w:hint="eastAsia" w:ascii="仿宋_GB2312" w:hAnsi="宋体" w:eastAsia="仿宋_GB2312" w:cs="仿宋"/>
                <w:kern w:val="0"/>
                <w:szCs w:val="21"/>
              </w:rPr>
              <w:t>数要求，全部满足得1</w:t>
            </w:r>
            <w:r>
              <w:rPr>
                <w:rFonts w:ascii="仿宋_GB2312" w:hAnsi="宋体" w:eastAsia="仿宋_GB2312" w:cs="仿宋"/>
                <w:kern w:val="0"/>
                <w:szCs w:val="21"/>
              </w:rPr>
              <w:t>5</w:t>
            </w:r>
            <w:r>
              <w:rPr>
                <w:rFonts w:hint="eastAsia" w:ascii="仿宋_GB2312" w:hAnsi="宋体" w:eastAsia="仿宋_GB2312" w:cs="仿宋"/>
                <w:kern w:val="0"/>
                <w:szCs w:val="21"/>
              </w:rPr>
              <w:t>分；</w:t>
            </w:r>
          </w:p>
          <w:p>
            <w:pPr>
              <w:rPr>
                <w:rFonts w:hint="eastAsia" w:ascii="仿宋_GB2312" w:hAnsi="宋体" w:eastAsia="仿宋_GB2312" w:cs="宋体"/>
                <w:szCs w:val="21"/>
              </w:rPr>
            </w:pPr>
            <w:r>
              <w:rPr>
                <w:rFonts w:hint="eastAsia" w:ascii="仿宋_GB2312" w:hAnsi="宋体" w:eastAsia="仿宋_GB2312" w:cs="仿宋"/>
                <w:kern w:val="0"/>
                <w:szCs w:val="21"/>
              </w:rPr>
              <w:t>▲参数不满足扣2分，其他参数不满足扣</w:t>
            </w:r>
            <w:r>
              <w:rPr>
                <w:rFonts w:ascii="仿宋_GB2312" w:hAnsi="宋体" w:eastAsia="仿宋_GB2312" w:cs="仿宋"/>
                <w:kern w:val="0"/>
                <w:szCs w:val="21"/>
              </w:rPr>
              <w:t>0.5</w:t>
            </w:r>
            <w:r>
              <w:rPr>
                <w:rFonts w:hint="eastAsia" w:ascii="仿宋_GB2312" w:hAnsi="宋体" w:eastAsia="仿宋_GB2312" w:cs="仿宋"/>
                <w:kern w:val="0"/>
                <w:szCs w:val="21"/>
              </w:rPr>
              <w:t>分，最高扣1</w:t>
            </w:r>
            <w:r>
              <w:rPr>
                <w:rFonts w:ascii="仿宋_GB2312" w:hAnsi="宋体" w:eastAsia="仿宋_GB2312" w:cs="仿宋"/>
                <w:kern w:val="0"/>
                <w:szCs w:val="21"/>
              </w:rPr>
              <w:t>5</w:t>
            </w:r>
            <w:r>
              <w:rPr>
                <w:rFonts w:hint="eastAsia" w:ascii="仿宋_GB2312" w:hAnsi="宋体" w:eastAsia="仿宋_GB2312" w:cs="仿宋"/>
                <w:kern w:val="0"/>
                <w:szCs w:val="21"/>
              </w:rPr>
              <w:t>分。</w:t>
            </w:r>
          </w:p>
          <w:p>
            <w:pPr>
              <w:rPr>
                <w:rFonts w:hint="eastAsia" w:ascii="仿宋_GB2312" w:hAnsi="宋体" w:eastAsia="仿宋_GB2312" w:cs="宋体"/>
                <w:szCs w:val="21"/>
              </w:rPr>
            </w:pPr>
            <w:r>
              <w:rPr>
                <w:rFonts w:hint="eastAsia" w:ascii="仿宋_GB2312" w:hAnsi="宋体" w:eastAsia="仿宋_GB2312" w:cs="宋体"/>
                <w:szCs w:val="21"/>
                <w:lang w:val="en-US" w:eastAsia="zh-CN"/>
              </w:rPr>
              <w:t>2.</w:t>
            </w:r>
            <w:r>
              <w:rPr>
                <w:rFonts w:hint="eastAsia" w:ascii="仿宋_GB2312" w:hAnsi="宋体" w:eastAsia="仿宋_GB2312" w:cs="宋体"/>
                <w:szCs w:val="21"/>
              </w:rPr>
              <w:t>提供产品和方案要满足良好的兼容性，可适配主流会议系统。提供技术材料演示；满足得</w:t>
            </w:r>
            <w:r>
              <w:rPr>
                <w:rFonts w:ascii="仿宋_GB2312" w:hAnsi="宋体" w:eastAsia="仿宋_GB2312" w:cs="宋体"/>
                <w:szCs w:val="21"/>
              </w:rPr>
              <w:t>3</w:t>
            </w:r>
            <w:r>
              <w:rPr>
                <w:rFonts w:hint="eastAsia" w:ascii="仿宋_GB2312" w:hAnsi="宋体" w:eastAsia="仿宋_GB2312" w:cs="宋体"/>
                <w:szCs w:val="21"/>
              </w:rPr>
              <w:t>分。</w:t>
            </w:r>
          </w:p>
          <w:p>
            <w:pPr>
              <w:pStyle w:val="3"/>
              <w:numPr>
                <w:ilvl w:val="0"/>
                <w:numId w:val="0"/>
              </w:numPr>
              <w:adjustRightInd w:val="0"/>
              <w:snapToGrid w:val="0"/>
              <w:jc w:val="left"/>
              <w:rPr>
                <w:rFonts w:hint="eastAsia" w:ascii="仿宋_GB2312" w:hAnsi="仿宋_GB2312" w:eastAsia="仿宋_GB2312" w:cs="仿宋_GB2312"/>
                <w:bCs/>
                <w:sz w:val="24"/>
                <w:szCs w:val="24"/>
              </w:rPr>
            </w:pPr>
            <w:r>
              <w:rPr>
                <w:rFonts w:hint="eastAsia" w:ascii="仿宋_GB2312" w:hAnsi="宋体" w:eastAsia="仿宋_GB2312" w:cs="宋体"/>
                <w:szCs w:val="21"/>
                <w:lang w:val="en-US" w:eastAsia="zh-CN"/>
              </w:rPr>
              <w:t>3.</w:t>
            </w:r>
            <w:r>
              <w:rPr>
                <w:rFonts w:hint="eastAsia" w:ascii="仿宋_GB2312" w:hAnsi="宋体" w:eastAsia="仿宋_GB2312" w:cs="宋体"/>
                <w:szCs w:val="21"/>
              </w:rPr>
              <w:t>提供</w:t>
            </w:r>
            <w:r>
              <w:rPr>
                <w:rFonts w:hint="eastAsia" w:ascii="仿宋_GB2312" w:hAnsi="宋体" w:eastAsia="仿宋_GB2312" w:cs="宋体"/>
                <w:szCs w:val="21"/>
                <w:lang w:eastAsia="zh-CN"/>
              </w:rPr>
              <w:t>的项目</w:t>
            </w:r>
            <w:r>
              <w:rPr>
                <w:rFonts w:hint="eastAsia" w:ascii="仿宋_GB2312" w:hAnsi="宋体" w:eastAsia="仿宋_GB2312" w:cs="宋体"/>
                <w:szCs w:val="21"/>
              </w:rPr>
              <w:t>方案未和现网会议系统做过兼容性测试，则需要提供测试演示。满足得</w:t>
            </w:r>
            <w:r>
              <w:rPr>
                <w:rFonts w:hint="eastAsia" w:ascii="仿宋_GB2312" w:hAnsi="宋体" w:eastAsia="仿宋_GB2312" w:cs="宋体"/>
                <w:szCs w:val="21"/>
                <w:lang w:val="en-US" w:eastAsia="zh-CN"/>
              </w:rPr>
              <w:t>2</w:t>
            </w:r>
            <w:r>
              <w:rPr>
                <w:rFonts w:hint="eastAsia" w:ascii="仿宋_GB2312" w:hAnsi="宋体" w:eastAsia="仿宋_GB2312" w:cs="宋体"/>
                <w:szCs w:val="21"/>
              </w:rPr>
              <w:t>分</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1641"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lang w:val="en-US" w:eastAsia="zh-CN"/>
              </w:rPr>
            </w:pP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eastAsia="zh-CN"/>
              </w:rPr>
            </w:pPr>
            <w:r>
              <w:rPr>
                <w:rFonts w:hint="eastAsia" w:ascii="仿宋_GB2312" w:hAnsi="宋体" w:eastAsia="仿宋_GB2312" w:cs="仿宋"/>
                <w:kern w:val="2"/>
                <w:sz w:val="24"/>
                <w:szCs w:val="24"/>
                <w:lang w:val="en-US" w:eastAsia="zh-CN" w:bidi="ar-SA"/>
              </w:rPr>
              <w:t>项目团队情况（5分）</w:t>
            </w:r>
          </w:p>
        </w:tc>
        <w:tc>
          <w:tcPr>
            <w:tcW w:w="6191" w:type="dxa"/>
          </w:tcPr>
          <w:p>
            <w:pPr>
              <w:rPr>
                <w:rFonts w:hint="eastAsia" w:ascii="仿宋_GB2312" w:hAnsi="宋体" w:eastAsia="仿宋_GB2312" w:cs="宋体"/>
                <w:szCs w:val="21"/>
              </w:rPr>
            </w:pPr>
            <w:r>
              <w:rPr>
                <w:rFonts w:hint="eastAsia" w:ascii="仿宋_GB2312" w:hAnsi="宋体" w:eastAsia="仿宋_GB2312" w:cs="宋体"/>
                <w:szCs w:val="21"/>
                <w:lang w:val="en-US" w:eastAsia="zh-CN"/>
              </w:rPr>
              <w:t>1.</w:t>
            </w:r>
            <w:r>
              <w:rPr>
                <w:rFonts w:hint="eastAsia" w:ascii="仿宋_GB2312" w:hAnsi="宋体" w:eastAsia="仿宋_GB2312" w:cs="宋体"/>
                <w:szCs w:val="21"/>
              </w:rPr>
              <w:t>项目经理满足以下条件：</w:t>
            </w:r>
          </w:p>
          <w:p>
            <w:pPr>
              <w:rPr>
                <w:rFonts w:hint="eastAsia" w:ascii="仿宋_GB2312" w:hAnsi="宋体" w:eastAsia="仿宋_GB2312" w:cs="宋体"/>
                <w:szCs w:val="21"/>
              </w:rPr>
            </w:pPr>
            <w:r>
              <w:rPr>
                <w:rFonts w:hint="eastAsia" w:ascii="仿宋_GB2312" w:hAnsi="宋体" w:eastAsia="仿宋_GB2312" w:cs="宋体"/>
                <w:szCs w:val="21"/>
                <w:lang w:eastAsia="zh-CN"/>
              </w:rPr>
              <w:t>（</w:t>
            </w:r>
            <w:r>
              <w:rPr>
                <w:rFonts w:hint="eastAsia" w:ascii="仿宋_GB2312" w:hAnsi="宋体" w:eastAsia="仿宋_GB2312" w:cs="宋体"/>
                <w:szCs w:val="21"/>
              </w:rPr>
              <w:t>1</w:t>
            </w:r>
            <w:r>
              <w:rPr>
                <w:rFonts w:hint="eastAsia" w:ascii="仿宋_GB2312" w:hAnsi="宋体" w:eastAsia="仿宋_GB2312" w:cs="宋体"/>
                <w:szCs w:val="21"/>
                <w:lang w:eastAsia="zh-CN"/>
              </w:rPr>
              <w:t>）</w:t>
            </w:r>
            <w:r>
              <w:rPr>
                <w:rFonts w:hint="eastAsia" w:ascii="仿宋_GB2312" w:hAnsi="宋体" w:eastAsia="仿宋_GB2312" w:cs="宋体"/>
                <w:szCs w:val="21"/>
              </w:rPr>
              <w:t>具备计算机应用相关专业大专（及以上）学历；满足得</w:t>
            </w:r>
            <w:r>
              <w:rPr>
                <w:rFonts w:hint="eastAsia" w:ascii="仿宋_GB2312" w:hAnsi="宋体" w:eastAsia="仿宋_GB2312" w:cs="宋体"/>
                <w:szCs w:val="21"/>
                <w:lang w:val="en-US" w:eastAsia="zh-CN"/>
              </w:rPr>
              <w:t>1</w:t>
            </w:r>
            <w:r>
              <w:rPr>
                <w:rFonts w:hint="eastAsia" w:ascii="仿宋_GB2312" w:hAnsi="宋体" w:eastAsia="仿宋_GB2312" w:cs="宋体"/>
                <w:szCs w:val="21"/>
              </w:rPr>
              <w:t>分</w:t>
            </w:r>
          </w:p>
          <w:p>
            <w:pPr>
              <w:rPr>
                <w:rFonts w:hint="eastAsia" w:ascii="仿宋_GB2312" w:hAnsi="宋体" w:eastAsia="仿宋_GB2312" w:cs="宋体"/>
                <w:szCs w:val="21"/>
                <w:lang w:eastAsia="zh-CN"/>
              </w:rPr>
            </w:pPr>
            <w:r>
              <w:rPr>
                <w:rFonts w:hint="eastAsia" w:ascii="仿宋_GB2312" w:hAnsi="宋体" w:eastAsia="仿宋_GB2312" w:cs="宋体"/>
                <w:szCs w:val="21"/>
                <w:lang w:eastAsia="zh-CN"/>
              </w:rPr>
              <w:t>（</w:t>
            </w:r>
            <w:r>
              <w:rPr>
                <w:rFonts w:hint="eastAsia" w:ascii="仿宋_GB2312" w:hAnsi="宋体" w:eastAsia="仿宋_GB2312" w:cs="宋体"/>
                <w:szCs w:val="21"/>
              </w:rPr>
              <w:t>2</w:t>
            </w:r>
            <w:r>
              <w:rPr>
                <w:rFonts w:hint="eastAsia" w:ascii="仿宋_GB2312" w:hAnsi="宋体" w:eastAsia="仿宋_GB2312" w:cs="宋体"/>
                <w:szCs w:val="21"/>
                <w:lang w:eastAsia="zh-CN"/>
              </w:rPr>
              <w:t>）</w:t>
            </w:r>
            <w:r>
              <w:rPr>
                <w:rFonts w:hint="eastAsia" w:ascii="仿宋_GB2312" w:hAnsi="宋体" w:eastAsia="仿宋_GB2312" w:cs="宋体"/>
                <w:szCs w:val="21"/>
              </w:rPr>
              <w:t>具备系统集成项目经理资质，满足得</w:t>
            </w:r>
            <w:r>
              <w:rPr>
                <w:rFonts w:hint="eastAsia" w:ascii="仿宋_GB2312" w:hAnsi="宋体" w:eastAsia="仿宋_GB2312" w:cs="宋体"/>
                <w:szCs w:val="21"/>
                <w:lang w:val="en-US" w:eastAsia="zh-CN"/>
              </w:rPr>
              <w:t>3</w:t>
            </w:r>
            <w:r>
              <w:rPr>
                <w:rFonts w:hint="eastAsia" w:ascii="仿宋_GB2312" w:hAnsi="宋体" w:eastAsia="仿宋_GB2312" w:cs="宋体"/>
                <w:szCs w:val="21"/>
              </w:rPr>
              <w:t>分</w:t>
            </w:r>
            <w:r>
              <w:rPr>
                <w:rFonts w:hint="eastAsia" w:ascii="仿宋_GB2312" w:hAnsi="宋体" w:eastAsia="仿宋_GB2312" w:cs="宋体"/>
                <w:szCs w:val="21"/>
                <w:lang w:eastAsia="zh-CN"/>
              </w:rPr>
              <w:t>。</w:t>
            </w:r>
          </w:p>
          <w:p>
            <w:pPr>
              <w:rPr>
                <w:rFonts w:hint="eastAsia" w:ascii="仿宋_GB2312" w:hAnsi="宋体" w:eastAsia="仿宋_GB2312" w:cs="宋体"/>
                <w:szCs w:val="21"/>
                <w:lang w:val="en-US" w:eastAsia="zh-CN"/>
              </w:rPr>
            </w:pPr>
            <w:r>
              <w:rPr>
                <w:rFonts w:hint="eastAsia" w:ascii="仿宋_GB2312" w:hAnsi="宋体" w:eastAsia="仿宋_GB2312" w:cs="宋体"/>
                <w:szCs w:val="21"/>
                <w:lang w:val="en-US" w:eastAsia="zh-CN"/>
              </w:rPr>
              <w:t>2.项目团队成员不少于3人，提供项目团队成员名单、简历及</w:t>
            </w:r>
            <w:r>
              <w:rPr>
                <w:rFonts w:hint="eastAsia" w:ascii="仿宋_GB2312" w:hAnsi="宋体" w:eastAsia="仿宋_GB2312" w:cs="宋体"/>
                <w:szCs w:val="21"/>
              </w:rPr>
              <w:t>证书复印件（学历、职称、资格证书</w:t>
            </w:r>
            <w:r>
              <w:rPr>
                <w:rFonts w:hint="eastAsia" w:ascii="仿宋_GB2312" w:hAnsi="宋体" w:eastAsia="仿宋_GB2312" w:cs="宋体"/>
                <w:szCs w:val="21"/>
                <w:lang w:eastAsia="zh-CN"/>
              </w:rPr>
              <w:t>等</w:t>
            </w:r>
            <w:r>
              <w:rPr>
                <w:rFonts w:hint="eastAsia" w:ascii="仿宋_GB2312" w:hAnsi="宋体" w:eastAsia="仿宋_GB2312" w:cs="宋体"/>
                <w:szCs w:val="21"/>
              </w:rPr>
              <w:t>），</w:t>
            </w:r>
            <w:r>
              <w:rPr>
                <w:rFonts w:hint="eastAsia" w:ascii="仿宋_GB2312" w:hAnsi="宋体" w:eastAsia="仿宋_GB2312" w:cs="宋体"/>
                <w:szCs w:val="21"/>
                <w:lang w:eastAsia="zh-CN"/>
              </w:rPr>
              <w:t>满足的</w:t>
            </w:r>
            <w:r>
              <w:rPr>
                <w:rFonts w:hint="eastAsia" w:ascii="仿宋_GB2312" w:hAnsi="宋体" w:eastAsia="仿宋_GB2312" w:cs="宋体"/>
                <w:szCs w:val="21"/>
                <w:lang w:val="en-US" w:eastAsia="zh-CN"/>
              </w:rPr>
              <w:t>1分。</w:t>
            </w:r>
          </w:p>
          <w:p>
            <w:pPr>
              <w:rPr>
                <w:rFonts w:hint="eastAsia" w:ascii="仿宋_GB2312" w:hAnsi="宋体" w:eastAsia="仿宋_GB2312" w:cs="宋体"/>
                <w:szCs w:val="21"/>
              </w:rPr>
            </w:pPr>
            <w:r>
              <w:rPr>
                <w:rFonts w:hint="eastAsia" w:ascii="仿宋_GB2312" w:hAnsi="宋体" w:eastAsia="仿宋_GB2312" w:cs="宋体"/>
                <w:szCs w:val="21"/>
                <w:lang w:val="en-US" w:eastAsia="zh-CN"/>
              </w:rPr>
              <w:t>3.</w:t>
            </w:r>
            <w:r>
              <w:rPr>
                <w:rFonts w:hint="eastAsia" w:ascii="仿宋_GB2312" w:hAnsi="宋体" w:eastAsia="仿宋_GB2312" w:cs="宋体"/>
                <w:szCs w:val="21"/>
              </w:rPr>
              <w:t>证明文件：</w:t>
            </w:r>
          </w:p>
          <w:p>
            <w:pPr>
              <w:rPr>
                <w:rFonts w:hint="eastAsia" w:ascii="仿宋_GB2312" w:hAnsi="宋体" w:eastAsia="仿宋_GB2312" w:cs="仿宋"/>
                <w:kern w:val="0"/>
                <w:szCs w:val="21"/>
              </w:rPr>
            </w:pPr>
            <w:r>
              <w:rPr>
                <w:rFonts w:hint="eastAsia" w:ascii="仿宋_GB2312" w:hAnsi="宋体" w:eastAsia="仿宋_GB2312" w:cs="宋体"/>
                <w:szCs w:val="21"/>
                <w:lang w:eastAsia="zh-CN"/>
              </w:rPr>
              <w:t>项目经理、</w:t>
            </w:r>
            <w:r>
              <w:rPr>
                <w:rFonts w:hint="eastAsia" w:ascii="仿宋_GB2312" w:hAnsi="宋体" w:eastAsia="仿宋_GB2312" w:cs="宋体"/>
                <w:szCs w:val="21"/>
              </w:rPr>
              <w:t>项目团队成员必须为投标人自有员工，提供相关人员</w:t>
            </w:r>
            <w:r>
              <w:rPr>
                <w:rFonts w:hint="eastAsia" w:ascii="仿宋_GB2312" w:hAnsi="宋体" w:eastAsia="仿宋_GB2312" w:cs="仿宋"/>
                <w:kern w:val="0"/>
                <w:szCs w:val="21"/>
              </w:rPr>
              <w:t>证书复印件（学历、职称、资格证书），原件备查。</w:t>
            </w:r>
          </w:p>
          <w:p>
            <w:pPr>
              <w:rPr>
                <w:rFonts w:hint="default" w:eastAsia="仿宋_GB2312"/>
                <w:lang w:val="en-US" w:eastAsia="zh-CN"/>
              </w:rPr>
            </w:pPr>
            <w:bookmarkStart w:id="0" w:name="_Toc22345"/>
            <w:r>
              <w:rPr>
                <w:rFonts w:hint="eastAsia" w:ascii="仿宋_GB2312" w:hAnsi="宋体" w:eastAsia="仿宋_GB2312" w:cs="仿宋"/>
                <w:kern w:val="0"/>
                <w:szCs w:val="21"/>
              </w:rPr>
              <w:t>未按要求提供或提供不清晰导致专家无法判断的不得分</w:t>
            </w:r>
            <w:bookmarkEnd w:id="0"/>
            <w:r>
              <w:rPr>
                <w:rFonts w:hint="eastAsia" w:ascii="仿宋_GB2312" w:hAnsi="宋体" w:eastAsia="仿宋_GB2312" w:cs="仿宋"/>
                <w:kern w:val="0"/>
                <w:szCs w:val="21"/>
              </w:rPr>
              <w:t>。</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1641"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商务部分</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C</w:t>
            </w:r>
            <w:r>
              <w:rPr>
                <w:rFonts w:hint="eastAsia" w:ascii="仿宋_GB2312" w:hAnsi="仿宋_GB2312" w:eastAsia="仿宋_GB2312" w:cs="仿宋_GB2312"/>
                <w:bCs/>
                <w:sz w:val="24"/>
                <w:szCs w:val="24"/>
              </w:rPr>
              <w:t>)</w:t>
            </w:r>
          </w:p>
        </w:tc>
        <w:tc>
          <w:tcPr>
            <w:tcW w:w="855"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30</w:t>
            </w:r>
            <w:r>
              <w:rPr>
                <w:rFonts w:hint="eastAsia" w:ascii="仿宋_GB2312" w:hAnsi="仿宋_GB2312" w:eastAsia="仿宋_GB2312" w:cs="仿宋_GB2312"/>
                <w:bCs/>
                <w:sz w:val="24"/>
                <w:szCs w:val="24"/>
              </w:rPr>
              <w:t>分</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宋体" w:eastAsia="仿宋_GB2312" w:cs="仿宋"/>
                <w:sz w:val="21"/>
                <w:szCs w:val="21"/>
                <w:lang w:eastAsia="zh-CN"/>
              </w:rPr>
            </w:pPr>
            <w:r>
              <w:rPr>
                <w:rFonts w:hint="eastAsia" w:ascii="仿宋_GB2312" w:hAnsi="宋体" w:eastAsia="仿宋_GB2312" w:cs="仿宋"/>
                <w:sz w:val="21"/>
                <w:szCs w:val="21"/>
              </w:rPr>
              <w:t>财务状况</w:t>
            </w:r>
            <w:r>
              <w:rPr>
                <w:rFonts w:hint="eastAsia" w:ascii="仿宋_GB2312" w:hAnsi="宋体" w:eastAsia="仿宋_GB2312" w:cs="仿宋"/>
                <w:sz w:val="21"/>
                <w:szCs w:val="21"/>
                <w:lang w:eastAsia="zh-CN"/>
              </w:rPr>
              <w:t>得分</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eastAsia="zh-CN"/>
              </w:rPr>
            </w:pPr>
            <w:r>
              <w:rPr>
                <w:rFonts w:hint="eastAsia" w:ascii="仿宋_GB2312" w:hAnsi="宋体" w:eastAsia="仿宋_GB2312" w:cs="仿宋"/>
                <w:sz w:val="21"/>
                <w:szCs w:val="21"/>
                <w:lang w:eastAsia="zh-CN"/>
              </w:rPr>
              <w:t>（</w:t>
            </w:r>
            <w:r>
              <w:rPr>
                <w:rFonts w:hint="eastAsia" w:ascii="仿宋_GB2312" w:hAnsi="宋体" w:eastAsia="仿宋_GB2312" w:cs="仿宋"/>
                <w:sz w:val="21"/>
                <w:szCs w:val="21"/>
                <w:lang w:val="en-US" w:eastAsia="zh-CN"/>
              </w:rPr>
              <w:t>2分</w:t>
            </w:r>
            <w:r>
              <w:rPr>
                <w:rFonts w:hint="eastAsia" w:ascii="仿宋_GB2312" w:hAnsi="宋体" w:eastAsia="仿宋_GB2312" w:cs="仿宋"/>
                <w:sz w:val="21"/>
                <w:szCs w:val="21"/>
                <w:lang w:eastAsia="zh-CN"/>
              </w:rPr>
              <w:t>）</w:t>
            </w:r>
          </w:p>
        </w:tc>
        <w:tc>
          <w:tcPr>
            <w:tcW w:w="6191" w:type="dxa"/>
          </w:tcPr>
          <w:p>
            <w:pPr>
              <w:keepNext w:val="0"/>
              <w:keepLines w:val="0"/>
              <w:pageBreakBefore w:val="0"/>
              <w:widowControl/>
              <w:kinsoku/>
              <w:wordWrap/>
              <w:overflowPunct/>
              <w:topLinePunct w:val="0"/>
              <w:autoSpaceDE/>
              <w:autoSpaceDN/>
              <w:bidi w:val="0"/>
              <w:adjustRightInd/>
              <w:snapToGrid/>
              <w:spacing w:line="400" w:lineRule="exact"/>
              <w:ind w:right="0"/>
              <w:jc w:val="left"/>
              <w:textAlignment w:val="auto"/>
              <w:rPr>
                <w:rFonts w:hint="eastAsia" w:ascii="仿宋_GB2312" w:hAnsi="宋体" w:eastAsia="仿宋_GB2312" w:cs="仿宋"/>
                <w:kern w:val="0"/>
                <w:sz w:val="21"/>
                <w:szCs w:val="21"/>
                <w:lang w:val="en-GB" w:eastAsia="zh-CN" w:bidi="ar-SA"/>
              </w:rPr>
            </w:pPr>
          </w:p>
          <w:p>
            <w:pPr>
              <w:keepNext w:val="0"/>
              <w:keepLines w:val="0"/>
              <w:pageBreakBefore w:val="0"/>
              <w:widowControl/>
              <w:kinsoku/>
              <w:wordWrap/>
              <w:overflowPunct/>
              <w:topLinePunct w:val="0"/>
              <w:autoSpaceDE/>
              <w:autoSpaceDN/>
              <w:bidi w:val="0"/>
              <w:adjustRightInd/>
              <w:snapToGrid/>
              <w:spacing w:line="400" w:lineRule="exact"/>
              <w:ind w:right="0"/>
              <w:jc w:val="left"/>
              <w:textAlignment w:val="auto"/>
              <w:rPr>
                <w:rFonts w:hint="eastAsia" w:ascii="仿宋_GB2312" w:hAnsi="仿宋_GB2312" w:eastAsia="仿宋_GB2312" w:cs="仿宋_GB2312"/>
                <w:bCs/>
                <w:sz w:val="24"/>
                <w:szCs w:val="24"/>
                <w:lang w:eastAsia="zh-CN"/>
              </w:rPr>
            </w:pPr>
            <w:r>
              <w:rPr>
                <w:rFonts w:hint="eastAsia" w:ascii="仿宋_GB2312" w:hAnsi="宋体" w:eastAsia="仿宋_GB2312" w:cs="仿宋"/>
                <w:kern w:val="0"/>
                <w:sz w:val="21"/>
                <w:szCs w:val="21"/>
                <w:lang w:val="en-GB" w:eastAsia="zh-CN" w:bidi="ar-SA"/>
              </w:rPr>
              <w:t>响应供应商能提供会计师事务所或审计事务所出具的</w:t>
            </w:r>
            <w:r>
              <w:rPr>
                <w:rFonts w:hint="eastAsia" w:ascii="仿宋_GB2312" w:hAnsi="宋体" w:eastAsia="仿宋_GB2312" w:cs="仿宋"/>
                <w:kern w:val="0"/>
                <w:sz w:val="21"/>
                <w:szCs w:val="21"/>
                <w:lang w:val="en-US" w:eastAsia="zh-CN" w:bidi="ar-SA"/>
              </w:rPr>
              <w:t>2019、2020</w:t>
            </w:r>
            <w:r>
              <w:rPr>
                <w:rFonts w:hint="eastAsia" w:ascii="仿宋_GB2312" w:hAnsi="宋体" w:eastAsia="仿宋_GB2312" w:cs="仿宋"/>
                <w:kern w:val="0"/>
                <w:sz w:val="21"/>
                <w:szCs w:val="21"/>
                <w:lang w:val="en-GB" w:eastAsia="zh-CN" w:bidi="ar-SA"/>
              </w:rPr>
              <w:t>年以来的会计审计报告，</w:t>
            </w:r>
            <w:r>
              <w:rPr>
                <w:rFonts w:hint="eastAsia" w:ascii="仿宋_GB2312" w:hAnsi="宋体" w:eastAsia="仿宋_GB2312" w:cs="仿宋"/>
                <w:kern w:val="0"/>
                <w:sz w:val="21"/>
                <w:szCs w:val="21"/>
                <w:lang w:val="en-US" w:eastAsia="zh-CN" w:bidi="ar-SA"/>
              </w:rPr>
              <w:t>且报告结果指向响应供应商财务状况良好，并有盈利。</w:t>
            </w:r>
            <w:r>
              <w:rPr>
                <w:rFonts w:hint="eastAsia" w:ascii="仿宋_GB2312" w:hAnsi="宋体" w:eastAsia="仿宋_GB2312" w:cs="仿宋"/>
                <w:kern w:val="0"/>
                <w:sz w:val="21"/>
                <w:szCs w:val="21"/>
                <w:lang w:val="en-GB" w:eastAsia="zh-CN" w:bidi="ar-SA"/>
              </w:rPr>
              <w:t>每提供一年</w:t>
            </w:r>
            <w:r>
              <w:rPr>
                <w:rFonts w:hint="eastAsia" w:ascii="仿宋_GB2312" w:hAnsi="宋体" w:eastAsia="仿宋_GB2312" w:cs="仿宋"/>
                <w:kern w:val="0"/>
                <w:sz w:val="21"/>
                <w:szCs w:val="21"/>
                <w:lang w:val="en-US" w:eastAsia="zh-CN" w:bidi="ar-SA"/>
              </w:rPr>
              <w:t>得1分，最高得2分。</w:t>
            </w:r>
            <w:r>
              <w:rPr>
                <w:rFonts w:hint="eastAsia" w:ascii="仿宋_GB2312" w:hAnsi="宋体" w:eastAsia="仿宋_GB2312" w:cs="仿宋"/>
                <w:kern w:val="0"/>
                <w:sz w:val="21"/>
                <w:szCs w:val="21"/>
                <w:lang w:val="en-GB" w:eastAsia="zh-CN" w:bidi="ar-SA"/>
              </w:rPr>
              <w:t>（响应供应商无提供会计审计报告或</w:t>
            </w:r>
            <w:r>
              <w:rPr>
                <w:rFonts w:hint="eastAsia" w:ascii="仿宋_GB2312" w:hAnsi="宋体" w:eastAsia="仿宋_GB2312" w:cs="仿宋"/>
                <w:kern w:val="0"/>
                <w:sz w:val="21"/>
                <w:szCs w:val="21"/>
                <w:lang w:val="en-US" w:eastAsia="zh-CN" w:bidi="ar-SA"/>
              </w:rPr>
              <w:t>提供</w:t>
            </w:r>
            <w:r>
              <w:rPr>
                <w:rFonts w:hint="eastAsia" w:ascii="仿宋_GB2312" w:hAnsi="宋体" w:eastAsia="仿宋_GB2312" w:cs="仿宋"/>
                <w:kern w:val="0"/>
                <w:sz w:val="21"/>
                <w:szCs w:val="21"/>
                <w:lang w:val="en-GB" w:eastAsia="zh-CN" w:bidi="ar-SA"/>
              </w:rPr>
              <w:t>会计审计报告</w:t>
            </w:r>
            <w:r>
              <w:rPr>
                <w:rFonts w:hint="eastAsia" w:ascii="仿宋_GB2312" w:hAnsi="宋体" w:eastAsia="仿宋_GB2312" w:cs="仿宋"/>
                <w:kern w:val="0"/>
                <w:sz w:val="21"/>
                <w:szCs w:val="21"/>
                <w:lang w:val="en-US" w:eastAsia="zh-CN" w:bidi="ar-SA"/>
              </w:rPr>
              <w:t>结果指向财务亏损则</w:t>
            </w:r>
            <w:r>
              <w:rPr>
                <w:rFonts w:hint="eastAsia" w:ascii="仿宋_GB2312" w:hAnsi="宋体" w:eastAsia="仿宋_GB2312" w:cs="仿宋"/>
                <w:kern w:val="0"/>
                <w:sz w:val="21"/>
                <w:szCs w:val="21"/>
                <w:lang w:val="en-GB" w:eastAsia="zh-CN" w:bidi="ar-SA"/>
              </w:rPr>
              <w:t>不得分。）</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1"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rPr>
            </w:pP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eastAsia="仿宋_GB2312"/>
                <w:spacing w:val="-6"/>
                <w:sz w:val="21"/>
                <w:szCs w:val="21"/>
                <w:lang w:eastAsia="zh-CN"/>
              </w:rPr>
            </w:pPr>
            <w:r>
              <w:rPr>
                <w:rFonts w:hint="eastAsia" w:ascii="仿宋_GB2312" w:eastAsia="仿宋_GB2312"/>
                <w:sz w:val="21"/>
                <w:szCs w:val="21"/>
                <w:lang w:eastAsia="zh-CN"/>
              </w:rPr>
              <w:t>商务满足度</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eastAsia="zh-CN"/>
              </w:rPr>
            </w:pPr>
            <w:r>
              <w:rPr>
                <w:rFonts w:hint="eastAsia" w:ascii="仿宋_GB2312" w:hAnsi="Times New Roman" w:eastAsia="仿宋_GB2312" w:cs="Times New Roman"/>
                <w:sz w:val="21"/>
                <w:szCs w:val="21"/>
                <w:lang w:val="en-US" w:eastAsia="zh-CN"/>
              </w:rPr>
              <w:t>（</w:t>
            </w:r>
            <w:r>
              <w:rPr>
                <w:rFonts w:hint="eastAsia" w:ascii="仿宋_GB2312" w:eastAsia="仿宋_GB2312" w:cs="Times New Roman"/>
                <w:sz w:val="21"/>
                <w:szCs w:val="21"/>
                <w:lang w:val="en-US" w:eastAsia="zh-CN"/>
              </w:rPr>
              <w:t>5</w:t>
            </w:r>
            <w:r>
              <w:rPr>
                <w:rFonts w:hint="eastAsia" w:ascii="仿宋_GB2312" w:hAnsi="Times New Roman" w:eastAsia="仿宋_GB2312" w:cs="Times New Roman"/>
                <w:sz w:val="21"/>
                <w:szCs w:val="21"/>
                <w:lang w:val="en-US" w:eastAsia="zh-CN"/>
              </w:rPr>
              <w:t>分</w:t>
            </w:r>
            <w:r>
              <w:rPr>
                <w:rFonts w:hint="eastAsia" w:ascii="仿宋_GB2312" w:hAnsi="Times New Roman" w:eastAsia="仿宋_GB2312" w:cs="Times New Roman"/>
                <w:sz w:val="21"/>
                <w:szCs w:val="21"/>
                <w:lang w:eastAsia="zh-CN"/>
              </w:rPr>
              <w:t>）</w:t>
            </w:r>
          </w:p>
        </w:tc>
        <w:tc>
          <w:tcPr>
            <w:tcW w:w="6191" w:type="dxa"/>
          </w:tcPr>
          <w:p>
            <w:pPr>
              <w:rPr>
                <w:rFonts w:hint="eastAsia" w:ascii="仿宋_GB2312" w:hAnsi="宋体" w:eastAsia="仿宋_GB2312" w:cs="仿宋"/>
                <w:kern w:val="0"/>
                <w:szCs w:val="21"/>
              </w:rPr>
            </w:pPr>
            <w:r>
              <w:rPr>
                <w:rFonts w:hint="eastAsia" w:ascii="仿宋_GB2312" w:hAnsi="宋体" w:eastAsia="仿宋_GB2312" w:cs="宋体"/>
                <w:szCs w:val="21"/>
                <w:lang w:eastAsia="zh-CN"/>
              </w:rPr>
              <w:t>响应供应商</w:t>
            </w:r>
            <w:r>
              <w:rPr>
                <w:rFonts w:hint="eastAsia" w:ascii="仿宋_GB2312" w:hAnsi="宋体" w:eastAsia="仿宋_GB2312" w:cs="宋体"/>
                <w:szCs w:val="21"/>
              </w:rPr>
              <w:t>要满足</w:t>
            </w:r>
            <w:r>
              <w:rPr>
                <w:rFonts w:hint="eastAsia" w:ascii="仿宋_GB2312" w:hAnsi="宋体" w:eastAsia="仿宋_GB2312" w:cs="宋体"/>
                <w:szCs w:val="21"/>
                <w:lang w:eastAsia="zh-CN"/>
              </w:rPr>
              <w:t>商务偏离表中</w:t>
            </w:r>
            <w:r>
              <w:rPr>
                <w:rFonts w:hint="eastAsia" w:ascii="仿宋_GB2312" w:hAnsi="宋体" w:eastAsia="仿宋_GB2312" w:cs="仿宋"/>
                <w:kern w:val="0"/>
                <w:szCs w:val="21"/>
              </w:rPr>
              <w:t>▲</w:t>
            </w:r>
            <w:r>
              <w:rPr>
                <w:rFonts w:hint="eastAsia" w:ascii="仿宋_GB2312" w:hAnsi="宋体" w:eastAsia="仿宋_GB2312" w:cs="宋体"/>
                <w:szCs w:val="21"/>
              </w:rPr>
              <w:t>参</w:t>
            </w:r>
            <w:r>
              <w:rPr>
                <w:rFonts w:hint="eastAsia" w:ascii="仿宋_GB2312" w:hAnsi="宋体" w:eastAsia="仿宋_GB2312" w:cs="仿宋"/>
                <w:kern w:val="0"/>
                <w:szCs w:val="21"/>
              </w:rPr>
              <w:t>数要求，全部满足得</w:t>
            </w:r>
            <w:r>
              <w:rPr>
                <w:rFonts w:hint="eastAsia" w:ascii="仿宋_GB2312" w:hAnsi="宋体" w:eastAsia="仿宋_GB2312" w:cs="仿宋"/>
                <w:kern w:val="0"/>
                <w:szCs w:val="21"/>
                <w:lang w:val="en-US" w:eastAsia="zh-CN"/>
              </w:rPr>
              <w:t>5</w:t>
            </w:r>
            <w:r>
              <w:rPr>
                <w:rFonts w:hint="eastAsia" w:ascii="仿宋_GB2312" w:hAnsi="宋体" w:eastAsia="仿宋_GB2312" w:cs="仿宋"/>
                <w:kern w:val="0"/>
                <w:szCs w:val="21"/>
              </w:rPr>
              <w:t>分；</w:t>
            </w:r>
          </w:p>
          <w:p>
            <w:pPr>
              <w:rPr>
                <w:rFonts w:hint="eastAsia" w:ascii="仿宋_GB2312" w:hAnsi="仿宋_GB2312" w:eastAsia="仿宋_GB2312" w:cs="仿宋_GB2312"/>
                <w:bCs/>
                <w:sz w:val="24"/>
                <w:szCs w:val="24"/>
              </w:rPr>
            </w:pPr>
            <w:r>
              <w:rPr>
                <w:rFonts w:hint="eastAsia" w:ascii="仿宋_GB2312" w:hAnsi="宋体" w:eastAsia="仿宋_GB2312" w:cs="仿宋"/>
                <w:kern w:val="0"/>
                <w:szCs w:val="21"/>
              </w:rPr>
              <w:t>▲参数不满足扣</w:t>
            </w:r>
            <w:r>
              <w:rPr>
                <w:rFonts w:hint="eastAsia" w:ascii="仿宋_GB2312" w:hAnsi="宋体" w:eastAsia="仿宋_GB2312" w:cs="仿宋"/>
                <w:kern w:val="0"/>
                <w:szCs w:val="21"/>
                <w:lang w:val="en-US" w:eastAsia="zh-CN"/>
              </w:rPr>
              <w:t>1</w:t>
            </w:r>
            <w:r>
              <w:rPr>
                <w:rFonts w:hint="eastAsia" w:ascii="仿宋_GB2312" w:hAnsi="宋体" w:eastAsia="仿宋_GB2312" w:cs="仿宋"/>
                <w:kern w:val="0"/>
                <w:szCs w:val="21"/>
              </w:rPr>
              <w:t>分，最高扣</w:t>
            </w:r>
            <w:r>
              <w:rPr>
                <w:rFonts w:hint="eastAsia" w:ascii="仿宋_GB2312" w:hAnsi="宋体" w:eastAsia="仿宋_GB2312" w:cs="仿宋"/>
                <w:kern w:val="0"/>
                <w:szCs w:val="21"/>
                <w:lang w:val="en-US" w:eastAsia="zh-CN"/>
              </w:rPr>
              <w:t>5</w:t>
            </w:r>
            <w:r>
              <w:rPr>
                <w:rFonts w:hint="eastAsia" w:ascii="仿宋_GB2312" w:hAnsi="宋体" w:eastAsia="仿宋_GB2312" w:cs="仿宋"/>
                <w:kern w:val="0"/>
                <w:szCs w:val="21"/>
              </w:rPr>
              <w:t>分。</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641"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lang w:val="en-US" w:eastAsia="zh-CN"/>
              </w:rPr>
            </w:pP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宋体" w:eastAsia="仿宋_GB2312" w:cs="仿宋"/>
                <w:sz w:val="21"/>
                <w:szCs w:val="21"/>
                <w:lang w:eastAsia="zh-CN"/>
              </w:rPr>
            </w:pPr>
            <w:r>
              <w:rPr>
                <w:rFonts w:hint="eastAsia" w:ascii="仿宋_GB2312" w:hAnsi="宋体" w:eastAsia="仿宋_GB2312" w:cs="仿宋"/>
                <w:sz w:val="21"/>
                <w:szCs w:val="21"/>
              </w:rPr>
              <w:t>经营业绩</w:t>
            </w:r>
            <w:r>
              <w:rPr>
                <w:rFonts w:hint="eastAsia" w:ascii="仿宋_GB2312" w:hAnsi="宋体" w:eastAsia="仿宋_GB2312" w:cs="仿宋"/>
                <w:sz w:val="21"/>
                <w:szCs w:val="21"/>
                <w:lang w:eastAsia="zh-CN"/>
              </w:rPr>
              <w:t>得分</w:t>
            </w:r>
          </w:p>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6分</w:t>
            </w:r>
            <w:r>
              <w:rPr>
                <w:rFonts w:hint="eastAsia" w:ascii="仿宋_GB2312" w:hAnsi="仿宋_GB2312" w:eastAsia="仿宋_GB2312" w:cs="仿宋_GB2312"/>
                <w:bCs/>
                <w:sz w:val="24"/>
                <w:szCs w:val="24"/>
                <w:lang w:eastAsia="zh-CN"/>
              </w:rPr>
              <w:t>）</w:t>
            </w:r>
          </w:p>
        </w:tc>
        <w:tc>
          <w:tcPr>
            <w:tcW w:w="6191" w:type="dxa"/>
          </w:tcPr>
          <w:p>
            <w:pPr>
              <w:pStyle w:val="3"/>
              <w:numPr>
                <w:ilvl w:val="0"/>
                <w:numId w:val="0"/>
              </w:numPr>
              <w:adjustRightInd w:val="0"/>
              <w:snapToGrid w:val="0"/>
              <w:jc w:val="left"/>
              <w:rPr>
                <w:rFonts w:hint="eastAsia" w:ascii="仿宋_GB2312" w:hAnsi="仿宋_GB2312" w:eastAsia="仿宋_GB2312" w:cs="仿宋_GB2312"/>
                <w:bCs/>
                <w:sz w:val="24"/>
                <w:szCs w:val="24"/>
              </w:rPr>
            </w:pPr>
            <w:r>
              <w:rPr>
                <w:rFonts w:hint="eastAsia" w:ascii="仿宋_GB2312" w:hAnsi="宋体" w:eastAsia="仿宋_GB2312" w:cs="宋体"/>
                <w:sz w:val="21"/>
                <w:szCs w:val="21"/>
              </w:rPr>
              <w:t>响应供应商承担过</w:t>
            </w:r>
            <w:r>
              <w:rPr>
                <w:rFonts w:hint="eastAsia" w:ascii="仿宋_GB2312" w:hAnsi="宋体" w:eastAsia="仿宋_GB2312" w:cs="宋体"/>
                <w:sz w:val="21"/>
                <w:szCs w:val="21"/>
                <w:lang w:eastAsia="zh-CN"/>
              </w:rPr>
              <w:t>视频会议系统</w:t>
            </w:r>
            <w:r>
              <w:rPr>
                <w:rFonts w:hint="eastAsia" w:ascii="仿宋_GB2312" w:hAnsi="宋体" w:eastAsia="仿宋_GB2312" w:cs="宋体"/>
                <w:sz w:val="21"/>
                <w:szCs w:val="21"/>
              </w:rPr>
              <w:t>项目经验（附业绩案例证明材料）的每项得2分，本项最高得</w:t>
            </w:r>
            <w:r>
              <w:rPr>
                <w:rFonts w:ascii="仿宋_GB2312" w:hAnsi="宋体" w:eastAsia="仿宋_GB2312" w:cs="宋体"/>
                <w:sz w:val="21"/>
                <w:szCs w:val="21"/>
              </w:rPr>
              <w:t>6</w:t>
            </w:r>
            <w:r>
              <w:rPr>
                <w:rFonts w:hint="eastAsia" w:ascii="仿宋_GB2312" w:hAnsi="宋体" w:eastAsia="仿宋_GB2312" w:cs="宋体"/>
                <w:sz w:val="21"/>
                <w:szCs w:val="21"/>
              </w:rPr>
              <w:t>分。（以上业绩须提供合同复印件或中标通知书复印件，否则不计分）。</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641"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lang w:val="en-US" w:eastAsia="zh-CN"/>
              </w:rPr>
            </w:pPr>
          </w:p>
        </w:tc>
        <w:tc>
          <w:tcPr>
            <w:tcW w:w="1680" w:type="dxa"/>
            <w:vAlign w:val="center"/>
          </w:tcPr>
          <w:p>
            <w:pPr>
              <w:pStyle w:val="3"/>
              <w:adjustRightInd w:val="0"/>
              <w:snapToGrid w:val="0"/>
              <w:ind w:firstLine="0" w:firstLineChars="0"/>
              <w:jc w:val="center"/>
              <w:rPr>
                <w:rFonts w:hint="eastAsia" w:ascii="仿宋_GB2312" w:hAnsi="宋体" w:eastAsia="仿宋_GB2312" w:cs="仿宋"/>
                <w:sz w:val="21"/>
                <w:szCs w:val="21"/>
                <w:lang w:eastAsia="zh-CN"/>
              </w:rPr>
            </w:pPr>
            <w:r>
              <w:rPr>
                <w:rFonts w:hint="eastAsia" w:ascii="仿宋_GB2312" w:hAnsi="宋体" w:eastAsia="仿宋_GB2312" w:cs="仿宋"/>
                <w:sz w:val="21"/>
                <w:szCs w:val="21"/>
              </w:rPr>
              <w:t>产品支持</w:t>
            </w:r>
            <w:r>
              <w:rPr>
                <w:rFonts w:hint="eastAsia" w:ascii="仿宋_GB2312" w:hAnsi="宋体" w:eastAsia="仿宋_GB2312" w:cs="仿宋"/>
                <w:sz w:val="21"/>
                <w:szCs w:val="21"/>
                <w:lang w:eastAsia="zh-CN"/>
              </w:rPr>
              <w:t>得分</w:t>
            </w:r>
          </w:p>
          <w:p>
            <w:pPr>
              <w:pStyle w:val="3"/>
              <w:adjustRightInd w:val="0"/>
              <w:snapToGrid w:val="0"/>
              <w:ind w:firstLine="0" w:firstLineChars="0"/>
              <w:jc w:val="center"/>
              <w:rPr>
                <w:rFonts w:hint="eastAsia" w:ascii="仿宋_GB2312" w:hAnsi="宋体" w:eastAsia="仿宋_GB2312" w:cs="仿宋"/>
                <w:kern w:val="2"/>
                <w:sz w:val="21"/>
                <w:szCs w:val="21"/>
                <w:lang w:val="en-US" w:eastAsia="zh-CN" w:bidi="ar-SA"/>
              </w:rPr>
            </w:pPr>
            <w:r>
              <w:rPr>
                <w:rFonts w:hint="eastAsia" w:ascii="仿宋_GB2312" w:hAnsi="宋体" w:eastAsia="仿宋_GB2312" w:cs="仿宋"/>
                <w:sz w:val="21"/>
                <w:szCs w:val="21"/>
                <w:lang w:eastAsia="zh-CN"/>
              </w:rPr>
              <w:t>（</w:t>
            </w:r>
            <w:r>
              <w:rPr>
                <w:rFonts w:hint="eastAsia" w:ascii="仿宋_GB2312" w:hAnsi="宋体" w:eastAsia="仿宋_GB2312" w:cs="仿宋"/>
                <w:sz w:val="21"/>
                <w:szCs w:val="21"/>
                <w:lang w:val="en-US" w:eastAsia="zh-CN"/>
              </w:rPr>
              <w:t>7分</w:t>
            </w:r>
            <w:r>
              <w:rPr>
                <w:rFonts w:hint="eastAsia" w:ascii="仿宋_GB2312" w:hAnsi="宋体" w:eastAsia="仿宋_GB2312" w:cs="仿宋"/>
                <w:sz w:val="21"/>
                <w:szCs w:val="21"/>
                <w:lang w:eastAsia="zh-CN"/>
              </w:rPr>
              <w:t>）</w:t>
            </w:r>
          </w:p>
        </w:tc>
        <w:tc>
          <w:tcPr>
            <w:tcW w:w="6191" w:type="dxa"/>
          </w:tcPr>
          <w:p>
            <w:pPr>
              <w:pStyle w:val="10"/>
              <w:spacing w:before="20"/>
              <w:ind w:left="10"/>
              <w:rPr>
                <w:rFonts w:ascii="仿宋_GB2312" w:hAnsi="宋体" w:eastAsia="仿宋_GB2312" w:cs="宋体"/>
                <w:szCs w:val="21"/>
              </w:rPr>
            </w:pPr>
            <w:r>
              <w:rPr>
                <w:rFonts w:hint="eastAsia" w:ascii="仿宋_GB2312" w:hAnsi="宋体" w:eastAsia="仿宋_GB2312" w:cs="宋体"/>
                <w:szCs w:val="21"/>
                <w:lang w:val="en-GB"/>
              </w:rPr>
              <w:t>响应</w:t>
            </w:r>
            <w:r>
              <w:rPr>
                <w:rFonts w:hint="eastAsia" w:ascii="仿宋_GB2312" w:hAnsi="宋体" w:eastAsia="仿宋_GB2312" w:cs="宋体"/>
                <w:szCs w:val="21"/>
              </w:rPr>
              <w:t>供应商提供原厂产品代理证书，得</w:t>
            </w:r>
            <w:r>
              <w:rPr>
                <w:rFonts w:ascii="仿宋_GB2312" w:hAnsi="宋体" w:eastAsia="仿宋_GB2312" w:cs="宋体"/>
                <w:szCs w:val="21"/>
                <w:lang w:val="en-US"/>
              </w:rPr>
              <w:t>2</w:t>
            </w:r>
            <w:r>
              <w:rPr>
                <w:rFonts w:hint="eastAsia" w:ascii="仿宋_GB2312" w:hAnsi="宋体" w:eastAsia="仿宋_GB2312" w:cs="宋体"/>
                <w:szCs w:val="21"/>
                <w:lang w:val="en-US"/>
              </w:rPr>
              <w:t>分</w:t>
            </w:r>
            <w:r>
              <w:rPr>
                <w:rFonts w:hint="eastAsia" w:ascii="仿宋_GB2312" w:hAnsi="宋体" w:eastAsia="仿宋_GB2312" w:cs="宋体"/>
                <w:szCs w:val="21"/>
              </w:rPr>
              <w:t>。供应商为厂商的，出具盖章说明即可。（代理证书需要原厂可查询，否则不得分。）</w:t>
            </w:r>
          </w:p>
          <w:p>
            <w:pPr>
              <w:rPr>
                <w:rFonts w:hint="eastAsia" w:eastAsia="仿宋_GB2312"/>
                <w:lang w:val="en-US" w:eastAsia="zh-CN"/>
              </w:rPr>
            </w:pPr>
            <w:r>
              <w:rPr>
                <w:rFonts w:hint="eastAsia" w:ascii="仿宋_GB2312" w:hAnsi="宋体" w:eastAsia="仿宋_GB2312" w:cs="宋体"/>
                <w:szCs w:val="21"/>
              </w:rPr>
              <w:t>提供产品厂商服务承诺函，得5分</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641"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Cs/>
                <w:sz w:val="24"/>
                <w:szCs w:val="24"/>
                <w:lang w:val="en-US" w:eastAsia="zh-CN"/>
              </w:rPr>
            </w:pPr>
          </w:p>
        </w:tc>
        <w:tc>
          <w:tcPr>
            <w:tcW w:w="1680"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宋体" w:eastAsia="仿宋_GB2312" w:cs="仿宋"/>
                <w:sz w:val="21"/>
                <w:szCs w:val="21"/>
                <w:lang w:eastAsia="zh-CN"/>
              </w:rPr>
            </w:pPr>
            <w:r>
              <w:rPr>
                <w:rFonts w:hint="eastAsia" w:ascii="仿宋_GB2312" w:hAnsi="宋体" w:eastAsia="仿宋_GB2312" w:cs="仿宋"/>
                <w:sz w:val="21"/>
                <w:szCs w:val="21"/>
              </w:rPr>
              <w:t>本地服务能力</w:t>
            </w:r>
            <w:r>
              <w:rPr>
                <w:rFonts w:hint="eastAsia" w:ascii="仿宋_GB2312" w:hAnsi="宋体" w:eastAsia="仿宋_GB2312" w:cs="仿宋"/>
                <w:sz w:val="21"/>
                <w:szCs w:val="21"/>
                <w:lang w:eastAsia="zh-CN"/>
              </w:rPr>
              <w:t>（</w:t>
            </w:r>
            <w:r>
              <w:rPr>
                <w:rFonts w:hint="eastAsia" w:ascii="仿宋_GB2312" w:hAnsi="宋体" w:eastAsia="仿宋_GB2312" w:cs="仿宋"/>
                <w:sz w:val="21"/>
                <w:szCs w:val="21"/>
                <w:lang w:val="en-US" w:eastAsia="zh-CN"/>
              </w:rPr>
              <w:t>5分</w:t>
            </w:r>
            <w:r>
              <w:rPr>
                <w:rFonts w:hint="eastAsia" w:ascii="仿宋_GB2312" w:hAnsi="宋体" w:eastAsia="仿宋_GB2312" w:cs="仿宋"/>
                <w:sz w:val="21"/>
                <w:szCs w:val="21"/>
                <w:lang w:eastAsia="zh-CN"/>
              </w:rPr>
              <w:t>）</w:t>
            </w:r>
          </w:p>
        </w:tc>
        <w:tc>
          <w:tcPr>
            <w:tcW w:w="6191" w:type="dxa"/>
          </w:tcPr>
          <w:p>
            <w:pPr>
              <w:rPr>
                <w:rFonts w:hint="eastAsia" w:ascii="仿宋_GB2312" w:hAnsi="宋体" w:eastAsia="仿宋_GB2312" w:cs="仿宋"/>
                <w:szCs w:val="21"/>
              </w:rPr>
            </w:pPr>
          </w:p>
          <w:p>
            <w:pPr>
              <w:wordWrap w:val="0"/>
              <w:jc w:val="left"/>
              <w:rPr>
                <w:rFonts w:hint="eastAsia" w:ascii="仿宋_GB2312" w:hAnsi="Times New Roman" w:eastAsia="仿宋_GB2312" w:cs="Times New Roman"/>
              </w:rPr>
            </w:pPr>
            <w:r>
              <w:rPr>
                <w:rFonts w:hint="eastAsia" w:ascii="仿宋_GB2312" w:hAnsi="Times New Roman" w:eastAsia="仿宋_GB2312" w:cs="Times New Roman"/>
              </w:rPr>
              <w:t>投标单位本地服务能力，在深圳市有合法注册的单位得</w:t>
            </w:r>
            <w:r>
              <w:rPr>
                <w:rFonts w:hint="eastAsia" w:ascii="仿宋_GB2312" w:hAnsi="Times New Roman" w:eastAsia="仿宋_GB2312" w:cs="Times New Roman"/>
                <w:lang w:val="en-US" w:eastAsia="zh-CN"/>
              </w:rPr>
              <w:t>5</w:t>
            </w:r>
            <w:r>
              <w:rPr>
                <w:rFonts w:hint="eastAsia" w:ascii="仿宋_GB2312" w:hAnsi="Times New Roman" w:eastAsia="仿宋_GB2312" w:cs="Times New Roman"/>
              </w:rPr>
              <w:t>分；注册地在深圳市外，但承诺中标后在深圳设立项目点得</w:t>
            </w:r>
            <w:r>
              <w:rPr>
                <w:rFonts w:hint="eastAsia" w:ascii="仿宋_GB2312" w:hAnsi="Times New Roman" w:eastAsia="仿宋_GB2312" w:cs="Times New Roman"/>
                <w:lang w:val="en-US" w:eastAsia="zh-CN"/>
              </w:rPr>
              <w:t>3</w:t>
            </w:r>
            <w:r>
              <w:rPr>
                <w:rFonts w:hint="eastAsia" w:ascii="仿宋_GB2312" w:hAnsi="Times New Roman" w:eastAsia="仿宋_GB2312" w:cs="Times New Roman"/>
              </w:rPr>
              <w:t>分，须提供机构营业执照扫描件，原件备查，否则不得分。</w:t>
            </w:r>
          </w:p>
          <w:p>
            <w:pPr>
              <w:rPr>
                <w:rFonts w:hint="eastAsia" w:ascii="仿宋_GB2312" w:hAnsi="宋体" w:eastAsia="仿宋_GB2312" w:cs="宋体"/>
                <w:szCs w:val="21"/>
              </w:rPr>
            </w:pP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pacing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641"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Cs/>
                <w:sz w:val="24"/>
                <w:szCs w:val="24"/>
                <w:lang w:eastAsia="zh-CN"/>
              </w:rPr>
            </w:pPr>
          </w:p>
        </w:tc>
        <w:tc>
          <w:tcPr>
            <w:tcW w:w="855"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ind w:right="0"/>
              <w:textAlignment w:val="auto"/>
              <w:rPr>
                <w:rFonts w:hint="default" w:ascii="仿宋_GB2312" w:hAnsi="仿宋_GB2312" w:eastAsia="仿宋_GB2312" w:cs="仿宋_GB2312"/>
                <w:bCs/>
                <w:sz w:val="24"/>
                <w:szCs w:val="24"/>
                <w:lang w:val="en-US" w:eastAsia="zh-CN"/>
              </w:rPr>
            </w:pPr>
          </w:p>
        </w:tc>
        <w:tc>
          <w:tcPr>
            <w:tcW w:w="1680" w:type="dxa"/>
            <w:vAlign w:val="top"/>
          </w:tcPr>
          <w:p>
            <w:pPr>
              <w:wordWrap w:val="0"/>
              <w:jc w:val="center"/>
              <w:rPr>
                <w:rFonts w:hint="eastAsia" w:ascii="仿宋_GB2312" w:hAnsi="宋体" w:eastAsia="仿宋_GB2312" w:cs="仿宋"/>
                <w:szCs w:val="21"/>
              </w:rPr>
            </w:pPr>
            <w:r>
              <w:rPr>
                <w:rFonts w:hint="eastAsia" w:ascii="仿宋_GB2312" w:hAnsi="宋体" w:eastAsia="仿宋_GB2312" w:cs="仿宋"/>
                <w:szCs w:val="21"/>
              </w:rPr>
              <w:t>诚信情况</w:t>
            </w:r>
          </w:p>
          <w:p>
            <w:pPr>
              <w:wordWrap w:val="0"/>
              <w:jc w:val="center"/>
              <w:rPr>
                <w:rFonts w:hint="eastAsia" w:ascii="仿宋_GB2312" w:hAnsi="宋体" w:eastAsia="仿宋_GB2312" w:cs="仿宋"/>
                <w:sz w:val="21"/>
                <w:szCs w:val="21"/>
              </w:rPr>
            </w:pPr>
            <w:r>
              <w:rPr>
                <w:rFonts w:hint="eastAsia" w:ascii="仿宋_GB2312" w:hAnsi="宋体" w:eastAsia="仿宋_GB2312" w:cs="仿宋"/>
                <w:szCs w:val="21"/>
                <w:lang w:eastAsia="zh-CN"/>
              </w:rPr>
              <w:t>（</w:t>
            </w:r>
            <w:r>
              <w:rPr>
                <w:rFonts w:hint="eastAsia" w:ascii="仿宋_GB2312" w:hAnsi="宋体" w:eastAsia="仿宋_GB2312" w:cs="仿宋"/>
                <w:szCs w:val="21"/>
                <w:lang w:val="en-US" w:eastAsia="zh-CN"/>
              </w:rPr>
              <w:t>5分</w:t>
            </w:r>
            <w:r>
              <w:rPr>
                <w:rFonts w:hint="eastAsia" w:ascii="仿宋_GB2312" w:hAnsi="宋体" w:eastAsia="仿宋_GB2312" w:cs="仿宋"/>
                <w:szCs w:val="21"/>
                <w:lang w:eastAsia="zh-CN"/>
              </w:rPr>
              <w:t>）</w:t>
            </w:r>
          </w:p>
        </w:tc>
        <w:tc>
          <w:tcPr>
            <w:tcW w:w="6191" w:type="dxa"/>
            <w:vAlign w:val="top"/>
          </w:tcPr>
          <w:p>
            <w:pPr>
              <w:wordWrap w:val="0"/>
              <w:jc w:val="left"/>
              <w:rPr>
                <w:rFonts w:hint="eastAsia" w:ascii="仿宋_GB2312" w:hAnsi="宋体" w:eastAsia="仿宋_GB2312" w:cs="仿宋"/>
                <w:szCs w:val="21"/>
                <w:lang w:eastAsia="zh-CN"/>
              </w:rPr>
            </w:pPr>
            <w:r>
              <w:rPr>
                <w:rFonts w:hint="eastAsia" w:ascii="仿宋_GB2312" w:eastAsia="仿宋_GB2312"/>
              </w:rPr>
              <w:t>投标人在参与政府采购活动中出现诚信相关问题且在相关主管部门处理措施实施期限内的本项不得分，否则得满分。（须提供《诚信承诺函》原件</w:t>
            </w:r>
            <w:r>
              <w:rPr>
                <w:rFonts w:hint="eastAsia" w:ascii="仿宋_GB2312" w:eastAsia="仿宋_GB2312"/>
                <w:lang w:eastAsia="zh-CN"/>
              </w:rPr>
              <w:t>）</w:t>
            </w:r>
          </w:p>
        </w:tc>
        <w:tc>
          <w:tcPr>
            <w:tcW w:w="811" w:type="dxa"/>
          </w:tcPr>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pacing w:val="0"/>
                <w:kern w:val="0"/>
                <w:sz w:val="32"/>
                <w:szCs w:val="32"/>
              </w:rPr>
            </w:pPr>
          </w:p>
        </w:tc>
      </w:tr>
    </w:tbl>
    <w:p>
      <w:pPr>
        <w:keepNext w:val="0"/>
        <w:keepLines w:val="0"/>
        <w:pageBreakBefore w:val="0"/>
        <w:widowControl/>
        <w:kinsoku/>
        <w:wordWrap/>
        <w:overflowPunct/>
        <w:topLinePunct w:val="0"/>
        <w:autoSpaceDE/>
        <w:autoSpaceDN/>
        <w:bidi w:val="0"/>
        <w:adjustRightInd/>
        <w:snapToGrid/>
        <w:spacing w:line="540" w:lineRule="exact"/>
        <w:ind w:right="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注：</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eastAsia="zh-CN"/>
        </w:rPr>
        <w:t>1.</w:t>
      </w:r>
      <w:r>
        <w:rPr>
          <w:rFonts w:hint="eastAsia" w:ascii="仿宋_GB2312" w:hAnsi="仿宋_GB2312" w:eastAsia="仿宋_GB2312" w:cs="仿宋_GB2312"/>
          <w:spacing w:val="0"/>
          <w:kern w:val="0"/>
          <w:sz w:val="32"/>
          <w:szCs w:val="32"/>
        </w:rPr>
        <w:t>每一项的得分均不能超过该项最高分值。</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2.缺项则该项为0分或不合格为0分。</w:t>
      </w:r>
    </w:p>
    <w:p>
      <w:pPr>
        <w:keepNext w:val="0"/>
        <w:keepLines w:val="0"/>
        <w:pageBreakBefore w:val="0"/>
        <w:widowControl/>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3.价格、技术、商务部分为针对项目具体情况设置项目，累加满分为100分。</w:t>
      </w:r>
    </w:p>
    <w:p>
      <w:pPr>
        <w:keepNext w:val="0"/>
        <w:keepLines w:val="0"/>
        <w:pageBreakBefore w:val="0"/>
        <w:widowControl/>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spacing w:val="0"/>
          <w:kern w:val="0"/>
          <w:sz w:val="32"/>
          <w:szCs w:val="32"/>
        </w:rPr>
        <w:t>4.综合以上分析比较，评委会将对各投标文件进行书面的量化评定，得分精确到小数点后两位</w:t>
      </w:r>
      <w:r>
        <w:rPr>
          <w:rFonts w:hint="eastAsia" w:ascii="仿宋_GB2312" w:hAnsi="仿宋_GB2312" w:eastAsia="仿宋_GB2312" w:cs="仿宋_GB2312"/>
          <w:spacing w:val="0"/>
          <w:kern w:val="0"/>
          <w:sz w:val="32"/>
          <w:szCs w:val="32"/>
          <w:lang w:eastAsia="zh-CN"/>
        </w:rPr>
        <w:t>。</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048A70"/>
    <w:multiLevelType w:val="singleLevel"/>
    <w:tmpl w:val="E3048A7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9742B"/>
    <w:rsid w:val="15D909FA"/>
    <w:rsid w:val="17D10682"/>
    <w:rsid w:val="236B3351"/>
    <w:rsid w:val="693201B5"/>
    <w:rsid w:val="6DF125A4"/>
    <w:rsid w:val="6E1F391A"/>
    <w:rsid w:val="6F33706C"/>
    <w:rsid w:val="72FC3D0B"/>
    <w:rsid w:val="79077F54"/>
    <w:rsid w:val="7C0E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style>
  <w:style w:type="paragraph" w:styleId="4">
    <w:name w:val="footer"/>
    <w:basedOn w:val="5"/>
    <w:qFormat/>
    <w:uiPriority w:val="99"/>
    <w:pPr>
      <w:tabs>
        <w:tab w:val="center" w:pos="4153"/>
        <w:tab w:val="right" w:pos="8306"/>
      </w:tabs>
      <w:snapToGrid w:val="0"/>
      <w:jc w:val="left"/>
    </w:pPr>
    <w:rPr>
      <w:sz w:val="18"/>
      <w:szCs w:val="18"/>
    </w:rPr>
  </w:style>
  <w:style w:type="paragraph" w:customStyle="1" w:styleId="5">
    <w:name w:val="Heading Left"/>
    <w:basedOn w:val="1"/>
    <w:unhideWhenUsed/>
    <w:qFormat/>
    <w:uiPriority w:val="0"/>
    <w:rPr>
      <w:rFonts w:hint="eastAsia"/>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2021-09-09T02:14:00Z</dcterms:created>
  <dc:creator>Administrator</dc:creator>
  <cp:lastModifiedBy>Darcya</cp:lastModifiedBy>
  <dcterms:modified xsi:type="dcterms:W3CDTF">2021-10-12T01:24:58Z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0A2955FCD723429DB62DB1B1D5F87943</vt:lpwstr>
  </property>
</Properties>
</file>