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rFonts w:hint="eastAsia" w:ascii="黑体" w:hAnsi="黑体" w:eastAsia="黑体" w:cs="黑体"/>
          <w:sz w:val="30"/>
          <w:szCs w:val="30"/>
          <w:lang w:val="en-US" w:eastAsia="zh-CN"/>
        </w:rPr>
      </w:pPr>
      <w:r>
        <w:rPr>
          <w:rFonts w:hint="eastAsia" w:ascii="黑体" w:hAnsi="黑体" w:eastAsia="黑体" w:cs="黑体"/>
          <w:sz w:val="30"/>
          <w:szCs w:val="30"/>
        </w:rPr>
        <w:t>附</w:t>
      </w:r>
      <w:r>
        <w:rPr>
          <w:rFonts w:hint="eastAsia" w:ascii="黑体" w:hAnsi="黑体" w:eastAsia="黑体" w:cs="黑体"/>
          <w:sz w:val="30"/>
          <w:szCs w:val="30"/>
          <w:lang w:eastAsia="zh-CN"/>
        </w:rPr>
        <w:t>件</w:t>
      </w:r>
    </w:p>
    <w:p>
      <w:pPr>
        <w:jc w:val="center"/>
        <w:rPr>
          <w:rFonts w:hint="eastAsia"/>
          <w:b/>
          <w:bCs/>
          <w:sz w:val="28"/>
          <w:szCs w:val="28"/>
        </w:rPr>
      </w:pPr>
      <w:r>
        <w:rPr>
          <w:rFonts w:hint="eastAsia" w:ascii="宋体" w:hAnsi="宋体" w:cs="宋体"/>
          <w:b/>
          <w:bCs/>
          <w:sz w:val="32"/>
          <w:szCs w:val="32"/>
        </w:rPr>
        <w:t>建筑施工百日</w:t>
      </w:r>
      <w:bookmarkStart w:id="0" w:name="_GoBack"/>
      <w:bookmarkEnd w:id="0"/>
      <w:r>
        <w:rPr>
          <w:rFonts w:hint="eastAsia" w:ascii="宋体" w:hAnsi="宋体" w:cs="宋体"/>
          <w:b/>
          <w:bCs/>
          <w:sz w:val="32"/>
          <w:szCs w:val="32"/>
        </w:rPr>
        <w:t>攻坚整治检查表（管理行为）</w:t>
      </w:r>
    </w:p>
    <w:p>
      <w:pPr>
        <w:spacing w:line="360" w:lineRule="auto"/>
        <w:jc w:val="left"/>
        <w:rPr>
          <w:rFonts w:ascii="宋体" w:hAnsi="宋体" w:cs="宋体"/>
          <w:b/>
          <w:bCs/>
          <w:szCs w:val="21"/>
        </w:rPr>
      </w:pPr>
      <w:r>
        <w:rPr>
          <w:rFonts w:hint="eastAsia" w:ascii="宋体" w:hAnsi="宋体" w:cs="宋体"/>
          <w:b/>
          <w:bCs/>
          <w:szCs w:val="21"/>
        </w:rPr>
        <w:t>工程名称：</w:t>
      </w:r>
      <w:r>
        <w:rPr>
          <w:rFonts w:hint="eastAsia" w:ascii="宋体" w:hAnsi="宋体" w:cs="宋体"/>
          <w:b/>
          <w:bCs/>
          <w:szCs w:val="21"/>
          <w:u w:val="single"/>
        </w:rPr>
        <w:t xml:space="preserve">                               </w:t>
      </w:r>
      <w:r>
        <w:rPr>
          <w:rFonts w:hint="eastAsia" w:ascii="宋体" w:hAnsi="宋体" w:cs="宋体"/>
          <w:b/>
          <w:bCs/>
          <w:szCs w:val="21"/>
        </w:rPr>
        <w:t>施工阶段：</w:t>
      </w:r>
      <w:r>
        <w:rPr>
          <w:rFonts w:hint="eastAsia" w:ascii="宋体" w:hAnsi="宋体" w:cs="宋体"/>
          <w:b/>
          <w:bCs/>
          <w:szCs w:val="21"/>
          <w:u w:val="single"/>
        </w:rPr>
        <w:t xml:space="preserve">            </w:t>
      </w:r>
      <w:r>
        <w:rPr>
          <w:rFonts w:hint="eastAsia" w:ascii="宋体" w:hAnsi="宋体" w:cs="宋体"/>
          <w:szCs w:val="21"/>
          <w:u w:val="single"/>
        </w:rPr>
        <w:t xml:space="preserve">                </w:t>
      </w:r>
    </w:p>
    <w:p>
      <w:pPr>
        <w:rPr>
          <w:rFonts w:hint="eastAsia"/>
          <w:b/>
          <w:bCs/>
          <w:szCs w:val="21"/>
        </w:rPr>
      </w:pPr>
      <w:r>
        <w:rPr>
          <w:rFonts w:hint="eastAsia" w:ascii="宋体" w:hAnsi="宋体" w:cs="宋体"/>
          <w:b/>
          <w:bCs/>
          <w:szCs w:val="21"/>
        </w:rPr>
        <w:t>施工单位：</w:t>
      </w:r>
      <w:r>
        <w:rPr>
          <w:rFonts w:hint="eastAsia" w:ascii="宋体" w:hAnsi="宋体" w:cs="宋体"/>
          <w:b/>
          <w:bCs/>
          <w:szCs w:val="21"/>
          <w:u w:val="single"/>
        </w:rPr>
        <w:t xml:space="preserve">                               </w:t>
      </w:r>
      <w:r>
        <w:rPr>
          <w:rFonts w:hint="eastAsia" w:ascii="宋体" w:hAnsi="宋体" w:cs="宋体"/>
          <w:b/>
          <w:bCs/>
          <w:szCs w:val="21"/>
        </w:rPr>
        <w:t>监理单位：</w:t>
      </w:r>
      <w:r>
        <w:rPr>
          <w:rFonts w:hint="eastAsia" w:ascii="宋体" w:hAnsi="宋体" w:cs="宋体"/>
          <w:b/>
          <w:bCs/>
          <w:szCs w:val="21"/>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78"/>
        <w:gridCol w:w="5243"/>
        <w:gridCol w:w="139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427"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678"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检查项目</w:t>
            </w:r>
          </w:p>
        </w:tc>
        <w:tc>
          <w:tcPr>
            <w:tcW w:w="5243" w:type="dxa"/>
            <w:vMerge w:val="restart"/>
            <w:noWrap w:val="0"/>
            <w:vAlign w:val="center"/>
          </w:tcPr>
          <w:p>
            <w:pPr>
              <w:jc w:val="center"/>
              <w:rPr>
                <w:rFonts w:ascii="宋体" w:hAnsi="宋体" w:cs="宋体"/>
                <w:b/>
                <w:bCs/>
                <w:szCs w:val="21"/>
              </w:rPr>
            </w:pPr>
            <w:r>
              <w:rPr>
                <w:rFonts w:hint="eastAsia" w:ascii="宋体" w:hAnsi="宋体" w:cs="宋体"/>
                <w:b/>
                <w:bCs/>
                <w:szCs w:val="21"/>
              </w:rPr>
              <w:t>检查内容与方式</w:t>
            </w:r>
          </w:p>
        </w:tc>
        <w:tc>
          <w:tcPr>
            <w:tcW w:w="4330" w:type="dxa"/>
            <w:gridSpan w:val="2"/>
            <w:noWrap w:val="0"/>
            <w:vAlign w:val="center"/>
          </w:tcPr>
          <w:p>
            <w:pPr>
              <w:jc w:val="center"/>
              <w:rPr>
                <w:rFonts w:hint="eastAsia" w:ascii="宋体" w:hAnsi="宋体" w:cs="宋体"/>
                <w:b/>
                <w:bCs/>
                <w:szCs w:val="21"/>
              </w:rPr>
            </w:pPr>
            <w:r>
              <w:rPr>
                <w:rFonts w:hint="eastAsia" w:ascii="宋体" w:hAnsi="宋体" w:cs="宋体"/>
                <w:b/>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427" w:type="dxa"/>
            <w:vMerge w:val="continue"/>
            <w:noWrap w:val="0"/>
            <w:vAlign w:val="center"/>
          </w:tcPr>
          <w:p>
            <w:pPr>
              <w:jc w:val="center"/>
            </w:pPr>
          </w:p>
        </w:tc>
        <w:tc>
          <w:tcPr>
            <w:tcW w:w="678" w:type="dxa"/>
            <w:vMerge w:val="continue"/>
            <w:noWrap w:val="0"/>
            <w:vAlign w:val="center"/>
          </w:tcPr>
          <w:p>
            <w:pPr>
              <w:jc w:val="center"/>
            </w:pPr>
          </w:p>
        </w:tc>
        <w:tc>
          <w:tcPr>
            <w:tcW w:w="5243" w:type="dxa"/>
            <w:vMerge w:val="continue"/>
            <w:noWrap w:val="0"/>
            <w:vAlign w:val="center"/>
          </w:tcPr>
          <w:p>
            <w:pPr>
              <w:jc w:val="center"/>
            </w:pPr>
          </w:p>
        </w:tc>
        <w:tc>
          <w:tcPr>
            <w:tcW w:w="1390" w:type="dxa"/>
            <w:noWrap w:val="0"/>
            <w:vAlign w:val="center"/>
          </w:tcPr>
          <w:p>
            <w:pPr>
              <w:jc w:val="center"/>
              <w:rPr>
                <w:rFonts w:hint="eastAsia" w:ascii="宋体" w:hAnsi="宋体" w:cs="宋体"/>
                <w:b/>
                <w:bCs/>
                <w:szCs w:val="21"/>
              </w:rPr>
            </w:pPr>
            <w:r>
              <w:rPr>
                <w:rFonts w:hint="eastAsia" w:ascii="宋体" w:hAnsi="宋体" w:cs="宋体"/>
                <w:b/>
                <w:bCs/>
                <w:szCs w:val="21"/>
              </w:rPr>
              <w:t>结论</w:t>
            </w:r>
          </w:p>
        </w:tc>
        <w:tc>
          <w:tcPr>
            <w:tcW w:w="2940" w:type="dxa"/>
            <w:noWrap w:val="0"/>
            <w:vAlign w:val="center"/>
          </w:tcPr>
          <w:p>
            <w:pPr>
              <w:jc w:val="center"/>
              <w:rPr>
                <w:rFonts w:hint="eastAsia" w:ascii="宋体" w:hAnsi="宋体" w:cs="宋体"/>
                <w:b/>
                <w:bCs/>
                <w:szCs w:val="21"/>
              </w:rPr>
            </w:pPr>
            <w:r>
              <w:rPr>
                <w:rFonts w:hint="eastAsia" w:ascii="宋体" w:hAnsi="宋体" w:cs="宋体"/>
                <w:b/>
                <w:bCs/>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27" w:type="dxa"/>
            <w:vMerge w:val="restart"/>
            <w:noWrap w:val="0"/>
            <w:vAlign w:val="center"/>
          </w:tcPr>
          <w:p>
            <w:pPr>
              <w:adjustRightInd w:val="0"/>
              <w:snapToGrid w:val="0"/>
              <w:jc w:val="center"/>
              <w:rPr>
                <w:rFonts w:hint="eastAsia" w:ascii="宋体" w:hAnsi="宋体" w:cs="宋体"/>
                <w:b/>
                <w:bCs/>
                <w:szCs w:val="21"/>
              </w:rPr>
            </w:pPr>
            <w:r>
              <w:rPr>
                <w:rFonts w:hint="eastAsia" w:ascii="宋体" w:hAnsi="宋体" w:cs="宋体"/>
                <w:szCs w:val="21"/>
              </w:rPr>
              <w:t>1</w:t>
            </w:r>
          </w:p>
        </w:tc>
        <w:tc>
          <w:tcPr>
            <w:tcW w:w="678"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人员架构与履职</w:t>
            </w: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施工单位管理组织机构中主要管理人员是否在岗履职，专职安全员配备数量是否符合要求、受聘企业是否为本项目施工单位。</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left"/>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27" w:type="dxa"/>
            <w:vMerge w:val="continue"/>
            <w:noWrap w:val="0"/>
            <w:vAlign w:val="center"/>
          </w:tcPr>
          <w:p>
            <w:pPr>
              <w:adjustRightInd w:val="0"/>
              <w:snapToGrid w:val="0"/>
              <w:jc w:val="center"/>
              <w:rPr>
                <w:rFonts w:hint="eastAsia" w:ascii="宋体" w:hAnsi="宋体" w:cs="宋体"/>
                <w:b/>
                <w:bCs/>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监理单位管理组织机构中主要管理人员是否在岗履职，是否配置专业监理工程师。</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27" w:type="dxa"/>
            <w:vMerge w:val="continue"/>
            <w:noWrap w:val="0"/>
            <w:vAlign w:val="center"/>
          </w:tcPr>
          <w:p>
            <w:pPr>
              <w:adjustRightInd w:val="0"/>
              <w:snapToGrid w:val="0"/>
              <w:jc w:val="center"/>
              <w:rPr>
                <w:rFonts w:hint="eastAsia" w:ascii="宋体" w:hAnsi="宋体" w:cs="宋体"/>
                <w:b/>
                <w:bCs/>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建设、施工、监理单位是否开展“三层三级”检查，检查记录是否反映现场实际，是否上传至智慧建造系统。</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adjustRightInd w:val="0"/>
              <w:snapToGrid w:val="0"/>
              <w:jc w:val="center"/>
              <w:rPr>
                <w:rFonts w:hint="eastAsia" w:ascii="宋体" w:hAnsi="宋体" w:cs="宋体"/>
                <w:b/>
                <w:bCs/>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施工、监理单位是否建立纠察巡查机制，人员配备、队伍形象是否符合要求，纠察巡查情况是否上传至智慧建造系统。</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施工现场是否实施“全过程跟踪管理”，重要作业面（点）是否有项目管理人员驻场管理。需在夜间作业时段组织施工的，建设单位是否牵头制定夜间作业时段施工管理方案。</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27" w:type="dxa"/>
            <w:vMerge w:val="restart"/>
            <w:noWrap w:val="0"/>
            <w:vAlign w:val="center"/>
          </w:tcPr>
          <w:p>
            <w:pPr>
              <w:jc w:val="center"/>
              <w:rPr>
                <w:rFonts w:hint="eastAsia" w:ascii="宋体" w:hAnsi="宋体" w:cs="宋体"/>
                <w:szCs w:val="21"/>
              </w:rPr>
            </w:pPr>
            <w:r>
              <w:rPr>
                <w:rFonts w:hint="eastAsia" w:ascii="宋体" w:hAnsi="宋体" w:cs="宋体"/>
                <w:szCs w:val="21"/>
              </w:rPr>
              <w:t>2</w:t>
            </w:r>
          </w:p>
        </w:tc>
        <w:tc>
          <w:tcPr>
            <w:tcW w:w="678" w:type="dxa"/>
            <w:vMerge w:val="restart"/>
            <w:noWrap w:val="0"/>
            <w:vAlign w:val="center"/>
          </w:tcPr>
          <w:p>
            <w:pPr>
              <w:jc w:val="center"/>
              <w:rPr>
                <w:rFonts w:hint="eastAsia" w:ascii="宋体" w:hAnsi="宋体" w:cs="宋体"/>
                <w:szCs w:val="21"/>
              </w:rPr>
            </w:pPr>
            <w:r>
              <w:rPr>
                <w:rFonts w:hint="eastAsia" w:ascii="宋体" w:hAnsi="宋体" w:cs="宋体"/>
                <w:szCs w:val="21"/>
              </w:rPr>
              <w:t>作业人员管理</w:t>
            </w:r>
          </w:p>
        </w:tc>
        <w:tc>
          <w:tcPr>
            <w:tcW w:w="5243" w:type="dxa"/>
            <w:noWrap w:val="0"/>
            <w:vAlign w:val="center"/>
          </w:tcPr>
          <w:p>
            <w:pPr>
              <w:jc w:val="left"/>
              <w:rPr>
                <w:rFonts w:hint="eastAsia" w:ascii="宋体" w:hAnsi="宋体" w:cs="宋体"/>
                <w:szCs w:val="21"/>
              </w:rPr>
            </w:pPr>
            <w:r>
              <w:rPr>
                <w:rFonts w:hint="eastAsia" w:ascii="宋体" w:hAnsi="宋体" w:cs="宋体"/>
                <w:szCs w:val="21"/>
              </w:rPr>
              <w:t>施工单位是否对进场作业人员组织三级教育和安全技术交底。</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特种作业人员是否持有效证件上岗。</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27" w:type="dxa"/>
            <w:vMerge w:val="restart"/>
            <w:noWrap w:val="0"/>
            <w:vAlign w:val="center"/>
          </w:tcPr>
          <w:p>
            <w:pPr>
              <w:jc w:val="center"/>
              <w:rPr>
                <w:rFonts w:hint="eastAsia" w:ascii="宋体" w:hAnsi="宋体" w:cs="宋体"/>
                <w:szCs w:val="21"/>
              </w:rPr>
            </w:pPr>
            <w:r>
              <w:rPr>
                <w:rFonts w:hint="eastAsia" w:ascii="宋体" w:hAnsi="宋体" w:cs="宋体"/>
                <w:szCs w:val="21"/>
              </w:rPr>
              <w:t>3</w:t>
            </w:r>
          </w:p>
        </w:tc>
        <w:tc>
          <w:tcPr>
            <w:tcW w:w="678"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实名制</w:t>
            </w:r>
          </w:p>
          <w:p>
            <w:pPr>
              <w:jc w:val="center"/>
              <w:rPr>
                <w:rFonts w:hint="eastAsia" w:ascii="宋体" w:hAnsi="宋体" w:cs="宋体"/>
                <w:szCs w:val="21"/>
              </w:rPr>
            </w:pPr>
            <w:r>
              <w:rPr>
                <w:rFonts w:hint="eastAsia" w:ascii="宋体" w:hAnsi="宋体" w:cs="宋体"/>
                <w:szCs w:val="21"/>
              </w:rPr>
              <w:t>分账制</w:t>
            </w:r>
          </w:p>
          <w:p>
            <w:pPr>
              <w:jc w:val="center"/>
              <w:rPr>
                <w:rFonts w:hint="eastAsia" w:ascii="宋体" w:hAnsi="宋体" w:cs="宋体"/>
                <w:szCs w:val="21"/>
              </w:rPr>
            </w:pPr>
            <w:r>
              <w:rPr>
                <w:rFonts w:hint="eastAsia" w:ascii="宋体" w:hAnsi="宋体" w:cs="宋体"/>
                <w:szCs w:val="21"/>
              </w:rPr>
              <w:t>信息化</w:t>
            </w:r>
          </w:p>
        </w:tc>
        <w:tc>
          <w:tcPr>
            <w:tcW w:w="5243" w:type="dxa"/>
            <w:noWrap w:val="0"/>
            <w:vAlign w:val="center"/>
          </w:tcPr>
          <w:p>
            <w:pPr>
              <w:jc w:val="left"/>
              <w:rPr>
                <w:rFonts w:hint="eastAsia" w:ascii="宋体" w:hAnsi="宋体" w:cs="宋体"/>
                <w:szCs w:val="21"/>
              </w:rPr>
            </w:pPr>
            <w:r>
              <w:rPr>
                <w:rFonts w:hint="eastAsia" w:ascii="宋体" w:hAnsi="宋体" w:cs="宋体"/>
                <w:szCs w:val="21"/>
              </w:rPr>
              <w:t>施工单位从业人员是否在“两制”系统进行实名登记、安全教育培训及考核。</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施工单位是否定期在“智慧建造”平台上传班前教育、关键作业环节短视频，隐患排查记录，危大工程信息。</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施工现场视频监控是否接入“智慧建造平台”，监控数量设置情况是否符合要求并保持在线状态。</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7" w:type="dxa"/>
            <w:vMerge w:val="restart"/>
            <w:noWrap w:val="0"/>
            <w:vAlign w:val="center"/>
          </w:tcPr>
          <w:p>
            <w:pP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4</w:t>
            </w:r>
          </w:p>
        </w:tc>
        <w:tc>
          <w:tcPr>
            <w:tcW w:w="678" w:type="dxa"/>
            <w:vMerge w:val="restart"/>
            <w:noWrap w:val="0"/>
            <w:vAlign w:val="center"/>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危大工程管理</w:t>
            </w:r>
          </w:p>
        </w:tc>
        <w:tc>
          <w:tcPr>
            <w:tcW w:w="5243" w:type="dxa"/>
            <w:noWrap w:val="0"/>
            <w:vAlign w:val="center"/>
          </w:tcPr>
          <w:p>
            <w:pPr>
              <w:jc w:val="left"/>
              <w:rPr>
                <w:rFonts w:hint="eastAsia" w:ascii="宋体" w:hAnsi="宋体" w:cs="宋体"/>
                <w:szCs w:val="21"/>
              </w:rPr>
            </w:pPr>
            <w:r>
              <w:rPr>
                <w:rFonts w:hint="eastAsia" w:ascii="宋体" w:hAnsi="宋体" w:cs="宋体"/>
                <w:szCs w:val="21"/>
              </w:rPr>
              <w:t>施工单位是否建立危大工程安全管理台账。</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危大工程施工前是否按规定编制、审批、论证施工安全专项方案，方案需调整的是否按规定重新审批、论证。</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需监测的危大工程是否委托第三方监测，对第三方监测单位反馈的预警信息是否及时处理、闭合。</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基坑开挖、高支模等需要验收的危大工程重要工序，施工单位、监理单位是否组织相关人员进行验收合格后进入下道工序。</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监理单位是否结合危大工程专项施工方案编制监理实施细则，并对危大工程施工实施专项巡检，重点施工部位环节是否现场监督。</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27" w:type="dxa"/>
            <w:vMerge w:val="restart"/>
            <w:noWrap w:val="0"/>
            <w:vAlign w:val="center"/>
          </w:tcPr>
          <w:p>
            <w:pPr>
              <w:jc w:val="center"/>
              <w:rPr>
                <w:rFonts w:hint="eastAsia" w:ascii="宋体" w:hAnsi="宋体" w:cs="宋体"/>
                <w:szCs w:val="21"/>
              </w:rPr>
            </w:pPr>
            <w:r>
              <w:rPr>
                <w:rFonts w:hint="eastAsia" w:ascii="宋体" w:hAnsi="宋体" w:cs="宋体"/>
                <w:szCs w:val="21"/>
              </w:rPr>
              <w:t>5</w:t>
            </w:r>
          </w:p>
        </w:tc>
        <w:tc>
          <w:tcPr>
            <w:tcW w:w="678" w:type="dxa"/>
            <w:vMerge w:val="restart"/>
            <w:noWrap w:val="0"/>
            <w:vAlign w:val="center"/>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建筑起重机械管理</w:t>
            </w: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建筑起重机械安装拆除、顶升加节、附墙等作业是否严格执行“作业令”制度。</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多塔作业是否按规定制定防碰撞专项施工方案。</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安拆单位是否按规定办理安装、拆卸告知手续，设备使用登记证是否按规定办理并在有效期内。</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设备使用单位是否对建筑起重机械维修保养，维保记录是否反应实际情况。</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27" w:type="dxa"/>
            <w:vMerge w:val="restart"/>
            <w:noWrap w:val="0"/>
            <w:vAlign w:val="center"/>
          </w:tcPr>
          <w:p>
            <w:pPr>
              <w:jc w:val="cente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6</w:t>
            </w:r>
          </w:p>
        </w:tc>
        <w:tc>
          <w:tcPr>
            <w:tcW w:w="678" w:type="dxa"/>
            <w:vMerge w:val="restart"/>
            <w:noWrap w:val="0"/>
            <w:vAlign w:val="center"/>
          </w:tcPr>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p>
          <w:p>
            <w:pPr>
              <w:adjustRightInd w:val="0"/>
              <w:snapToGrid w:val="0"/>
              <w:jc w:val="center"/>
              <w:rPr>
                <w:rFonts w:hint="eastAsia" w:ascii="宋体" w:hAnsi="宋体" w:cs="宋体"/>
                <w:szCs w:val="21"/>
              </w:rPr>
            </w:pPr>
            <w:r>
              <w:rPr>
                <w:rFonts w:hint="eastAsia" w:ascii="宋体" w:hAnsi="宋体" w:cs="宋体"/>
                <w:szCs w:val="21"/>
              </w:rPr>
              <w:t>临时用电与消防安全管理</w:t>
            </w:r>
          </w:p>
        </w:tc>
        <w:tc>
          <w:tcPr>
            <w:tcW w:w="5243" w:type="dxa"/>
            <w:noWrap w:val="0"/>
            <w:vAlign w:val="center"/>
          </w:tcPr>
          <w:p>
            <w:pPr>
              <w:jc w:val="left"/>
              <w:rPr>
                <w:rFonts w:hint="eastAsia" w:ascii="宋体" w:hAnsi="宋体" w:cs="宋体"/>
                <w:szCs w:val="21"/>
              </w:rPr>
            </w:pPr>
            <w:r>
              <w:rPr>
                <w:rFonts w:hint="eastAsia" w:ascii="宋体" w:hAnsi="宋体" w:cs="宋体"/>
                <w:szCs w:val="21"/>
              </w:rPr>
              <w:t>是否按规定编审施工现场临时用电组织设计，使用前是否验收合格。</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是否每月进行接地电阻、绝缘电阻和漏电保护器动作测试并如实填写相应的测试记录。</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盾构高压供电是否有供电部门的供电验收证明并办理送电移交记录；10KV高压供电线路是否每周不少于1次巡视检查。</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办公区或生活区板房所用材料燃烧性能等级、燃烧性能是否符合要求。</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27" w:type="dxa"/>
            <w:vMerge w:val="restart"/>
            <w:noWrap w:val="0"/>
            <w:vAlign w:val="center"/>
          </w:tcPr>
          <w:p>
            <w:pPr>
              <w:ind w:left="210" w:hanging="210" w:hangingChars="100"/>
              <w:jc w:val="center"/>
              <w:rPr>
                <w:rFonts w:hint="eastAsia" w:ascii="宋体" w:hAnsi="宋体" w:cs="宋体"/>
                <w:szCs w:val="21"/>
              </w:rPr>
            </w:pPr>
            <w:r>
              <w:rPr>
                <w:rFonts w:hint="eastAsia" w:ascii="宋体" w:hAnsi="宋体" w:cs="宋体"/>
                <w:szCs w:val="21"/>
              </w:rPr>
              <w:t>7</w:t>
            </w:r>
          </w:p>
        </w:tc>
        <w:tc>
          <w:tcPr>
            <w:tcW w:w="678"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防风防汛管理</w:t>
            </w:r>
          </w:p>
          <w:p>
            <w:pPr>
              <w:adjustRightInd w:val="0"/>
              <w:snapToGrid w:val="0"/>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是否按照要求开展汛期防御自查自纠工作。</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7" w:type="dxa"/>
            <w:vMerge w:val="continue"/>
            <w:noWrap w:val="0"/>
            <w:vAlign w:val="center"/>
          </w:tcPr>
          <w:p>
            <w:pPr>
              <w:ind w:left="210" w:hanging="210" w:hangingChars="100"/>
              <w:jc w:val="center"/>
              <w:rPr>
                <w:rFonts w:hint="eastAsia" w:ascii="宋体" w:hAnsi="宋体" w:cs="宋体"/>
                <w:szCs w:val="21"/>
              </w:rPr>
            </w:pPr>
          </w:p>
        </w:tc>
        <w:tc>
          <w:tcPr>
            <w:tcW w:w="678" w:type="dxa"/>
            <w:vMerge w:val="continue"/>
            <w:noWrap w:val="0"/>
            <w:vAlign w:val="center"/>
          </w:tcPr>
          <w:p>
            <w:pPr>
              <w:adjustRightInd w:val="0"/>
              <w:snapToGrid w:val="0"/>
              <w:jc w:val="center"/>
              <w:rPr>
                <w:rFonts w:hint="eastAsia" w:ascii="宋体" w:hAnsi="宋体" w:cs="宋体"/>
                <w:szCs w:val="21"/>
              </w:rPr>
            </w:pPr>
          </w:p>
        </w:tc>
        <w:tc>
          <w:tcPr>
            <w:tcW w:w="5243" w:type="dxa"/>
            <w:noWrap w:val="0"/>
            <w:vAlign w:val="center"/>
          </w:tcPr>
          <w:p>
            <w:pPr>
              <w:jc w:val="left"/>
              <w:rPr>
                <w:rFonts w:hint="eastAsia" w:ascii="宋体" w:hAnsi="宋体" w:cs="宋体"/>
                <w:szCs w:val="21"/>
              </w:rPr>
            </w:pPr>
            <w:r>
              <w:rPr>
                <w:rFonts w:hint="eastAsia" w:ascii="宋体" w:hAnsi="宋体" w:cs="宋体"/>
                <w:szCs w:val="21"/>
              </w:rPr>
              <w:t>是否编制项目防御台风人员疏散转移预案，提前做好转移安置点、交通组织、后勤保障等工作；是否建立建筑起重机械台账和人员疏散台账。</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27" w:type="dxa"/>
            <w:vMerge w:val="restart"/>
            <w:noWrap w:val="0"/>
            <w:vAlign w:val="center"/>
          </w:tcPr>
          <w:p>
            <w:pPr>
              <w:jc w:val="center"/>
              <w:rPr>
                <w:rFonts w:hint="eastAsia" w:ascii="宋体" w:hAnsi="宋体" w:cs="宋体"/>
                <w:szCs w:val="21"/>
              </w:rPr>
            </w:pPr>
            <w:r>
              <w:rPr>
                <w:rFonts w:hint="eastAsia" w:ascii="宋体" w:hAnsi="宋体" w:cs="宋体"/>
                <w:szCs w:val="21"/>
              </w:rPr>
              <w:t>8</w:t>
            </w:r>
          </w:p>
        </w:tc>
        <w:tc>
          <w:tcPr>
            <w:tcW w:w="678" w:type="dxa"/>
            <w:vMerge w:val="restart"/>
            <w:noWrap w:val="0"/>
            <w:vAlign w:val="center"/>
          </w:tcPr>
          <w:p>
            <w:pPr>
              <w:jc w:val="center"/>
              <w:rPr>
                <w:rFonts w:hint="eastAsia" w:ascii="宋体" w:hAnsi="宋体" w:cs="宋体"/>
                <w:szCs w:val="21"/>
              </w:rPr>
            </w:pPr>
            <w:r>
              <w:rPr>
                <w:rFonts w:hint="eastAsia" w:ascii="宋体" w:hAnsi="宋体" w:cs="宋体"/>
                <w:szCs w:val="21"/>
              </w:rPr>
              <w:t>疫情防控</w:t>
            </w:r>
          </w:p>
        </w:tc>
        <w:tc>
          <w:tcPr>
            <w:tcW w:w="5243" w:type="dxa"/>
            <w:noWrap w:val="0"/>
            <w:vAlign w:val="center"/>
          </w:tcPr>
          <w:p>
            <w:pPr>
              <w:jc w:val="left"/>
              <w:rPr>
                <w:rFonts w:hint="eastAsia" w:ascii="宋体" w:hAnsi="宋体" w:cs="宋体"/>
                <w:szCs w:val="21"/>
              </w:rPr>
            </w:pPr>
            <w:r>
              <w:rPr>
                <w:rFonts w:hint="eastAsia" w:ascii="宋体" w:hAnsi="宋体" w:cs="宋体"/>
                <w:szCs w:val="21"/>
              </w:rPr>
              <w:t>是否建立“一人一档”台账和建立重点关注人员的管理台账。</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用餐人数达到50人的工地食堂是否办理食品经营许可证，食堂从业人员按要求办理人员健康证，是否建立食材采购台账。</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7" w:type="dxa"/>
            <w:vMerge w:val="continue"/>
            <w:noWrap w:val="0"/>
            <w:vAlign w:val="center"/>
          </w:tcPr>
          <w:p>
            <w:pPr>
              <w:jc w:val="center"/>
              <w:rPr>
                <w:rFonts w:hint="eastAsia" w:ascii="宋体" w:hAnsi="宋体" w:cs="宋体"/>
                <w:szCs w:val="21"/>
              </w:rPr>
            </w:pPr>
          </w:p>
        </w:tc>
        <w:tc>
          <w:tcPr>
            <w:tcW w:w="678" w:type="dxa"/>
            <w:vMerge w:val="continue"/>
            <w:noWrap w:val="0"/>
            <w:vAlign w:val="center"/>
          </w:tcPr>
          <w:p>
            <w:pPr>
              <w:jc w:val="center"/>
              <w:rPr>
                <w:rFonts w:hint="eastAsia" w:ascii="宋体" w:hAnsi="宋体" w:cs="宋体"/>
                <w:szCs w:val="21"/>
              </w:rPr>
            </w:pPr>
          </w:p>
        </w:tc>
        <w:tc>
          <w:tcPr>
            <w:tcW w:w="5243"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施工现场及生活区、办公区是否实行封闭管理，出入是否落实测温、扫码措施。</w:t>
            </w:r>
          </w:p>
        </w:tc>
        <w:tc>
          <w:tcPr>
            <w:tcW w:w="139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adjustRightInd w:val="0"/>
              <w:snapToGrid w:val="0"/>
              <w:jc w:val="center"/>
              <w:rPr>
                <w:rFonts w:hint="eastAsia" w:ascii="宋体" w:hAnsi="宋体" w:cs="宋体"/>
                <w:szCs w:val="21"/>
              </w:rPr>
            </w:pPr>
            <w:r>
              <w:rPr>
                <w:rFonts w:hint="eastAsia" w:ascii="宋体" w:hAnsi="宋体" w:cs="宋体"/>
                <w:szCs w:val="21"/>
              </w:rPr>
              <w:t>□存在问题</w:t>
            </w:r>
          </w:p>
        </w:tc>
        <w:tc>
          <w:tcPr>
            <w:tcW w:w="2940" w:type="dxa"/>
            <w:noWrap w:val="0"/>
            <w:vAlign w:val="center"/>
          </w:tcPr>
          <w:p>
            <w:pPr>
              <w:adjustRightInd w:val="0"/>
              <w:snapToGrid w:val="0"/>
              <w:jc w:val="center"/>
              <w:rPr>
                <w:rFonts w:hint="eastAsia" w:ascii="宋体" w:hAnsi="宋体" w:cs="宋体"/>
                <w:szCs w:val="21"/>
              </w:rPr>
            </w:pPr>
          </w:p>
        </w:tc>
      </w:tr>
    </w:tbl>
    <w:p>
      <w:pPr>
        <w:jc w:val="left"/>
        <w:rPr>
          <w:rFonts w:hint="eastAsia"/>
          <w:szCs w:val="21"/>
        </w:rPr>
      </w:pPr>
      <w:r>
        <w:rPr>
          <w:rFonts w:hint="eastAsia"/>
          <w:szCs w:val="21"/>
        </w:rPr>
        <w:t>检查人员：                                                    检查日期：</w:t>
      </w:r>
    </w:p>
    <w:p>
      <w:pPr>
        <w:jc w:val="left"/>
        <w:rPr>
          <w:rFonts w:hint="eastAsia"/>
          <w:szCs w:val="21"/>
        </w:rPr>
        <w:sectPr>
          <w:headerReference r:id="rId4" w:type="first"/>
          <w:footerReference r:id="rId6" w:type="first"/>
          <w:headerReference r:id="rId3" w:type="default"/>
          <w:footerReference r:id="rId5" w:type="default"/>
          <w:pgSz w:w="11906" w:h="16838"/>
          <w:pgMar w:top="2041" w:right="1531" w:bottom="1814" w:left="1587" w:header="851" w:footer="992" w:gutter="0"/>
          <w:pgNumType w:fmt="numberInDash"/>
          <w:cols w:space="720" w:num="1"/>
          <w:titlePg/>
          <w:rtlGutter w:val="0"/>
          <w:docGrid w:type="lines" w:linePitch="316" w:charSpace="0"/>
        </w:sectPr>
      </w:pPr>
    </w:p>
    <w:p>
      <w:pPr>
        <w:jc w:val="center"/>
        <w:rPr>
          <w:rFonts w:hint="eastAsia"/>
          <w:b/>
          <w:bCs/>
          <w:sz w:val="32"/>
          <w:szCs w:val="32"/>
        </w:rPr>
      </w:pPr>
      <w:r>
        <w:rPr>
          <w:rFonts w:hint="eastAsia" w:ascii="宋体" w:hAnsi="宋体" w:cs="宋体"/>
          <w:b/>
          <w:bCs/>
          <w:sz w:val="32"/>
          <w:szCs w:val="32"/>
        </w:rPr>
        <w:t>建筑施工百日攻坚整治检查表（房屋建筑工程岩土阶段）</w:t>
      </w:r>
    </w:p>
    <w:p>
      <w:pPr>
        <w:spacing w:line="360" w:lineRule="auto"/>
        <w:jc w:val="left"/>
        <w:rPr>
          <w:rFonts w:ascii="宋体" w:hAnsi="宋体" w:cs="宋体"/>
          <w:b/>
          <w:bCs/>
          <w:szCs w:val="21"/>
        </w:rPr>
      </w:pPr>
      <w:r>
        <w:rPr>
          <w:rFonts w:hint="eastAsia" w:ascii="宋体" w:hAnsi="宋体" w:cs="宋体"/>
          <w:b/>
          <w:bCs/>
          <w:szCs w:val="21"/>
        </w:rPr>
        <w:t>工程名称：</w:t>
      </w:r>
      <w:r>
        <w:rPr>
          <w:rFonts w:hint="eastAsia" w:ascii="宋体" w:hAnsi="宋体" w:cs="宋体"/>
          <w:b/>
          <w:bCs/>
          <w:szCs w:val="21"/>
          <w:u w:val="single"/>
        </w:rPr>
        <w:t xml:space="preserve">                                 </w:t>
      </w:r>
      <w:r>
        <w:rPr>
          <w:rFonts w:hint="eastAsia" w:ascii="宋体" w:hAnsi="宋体" w:cs="宋体"/>
          <w:b/>
          <w:bCs/>
          <w:szCs w:val="21"/>
        </w:rPr>
        <w:t>施工阶段：</w:t>
      </w:r>
      <w:r>
        <w:rPr>
          <w:rFonts w:hint="eastAsia" w:ascii="宋体" w:hAnsi="宋体" w:cs="宋体"/>
          <w:b/>
          <w:bCs/>
          <w:szCs w:val="21"/>
          <w:u w:val="single"/>
        </w:rPr>
        <w:t xml:space="preserve">       </w:t>
      </w:r>
      <w:r>
        <w:rPr>
          <w:rFonts w:hint="eastAsia" w:ascii="宋体" w:hAnsi="宋体" w:cs="宋体"/>
          <w:szCs w:val="21"/>
          <w:u w:val="single"/>
        </w:rPr>
        <w:t xml:space="preserve"> 岩土阶段                </w:t>
      </w:r>
    </w:p>
    <w:p>
      <w:pPr>
        <w:spacing w:line="360" w:lineRule="auto"/>
        <w:jc w:val="left"/>
        <w:rPr>
          <w:rFonts w:ascii="宋体" w:hAnsi="宋体" w:cs="宋体"/>
          <w:sz w:val="10"/>
          <w:szCs w:val="10"/>
        </w:rPr>
      </w:pPr>
      <w:r>
        <w:rPr>
          <w:rFonts w:hint="eastAsia" w:ascii="宋体" w:hAnsi="宋体" w:cs="宋体"/>
          <w:b/>
          <w:bCs/>
          <w:szCs w:val="21"/>
        </w:rPr>
        <w:t>施工单位：</w:t>
      </w:r>
      <w:r>
        <w:rPr>
          <w:rFonts w:hint="eastAsia" w:ascii="宋体" w:hAnsi="宋体" w:cs="宋体"/>
          <w:b/>
          <w:bCs/>
          <w:szCs w:val="21"/>
          <w:u w:val="single"/>
        </w:rPr>
        <w:t xml:space="preserve">                                 </w:t>
      </w:r>
      <w:r>
        <w:rPr>
          <w:rFonts w:hint="eastAsia" w:ascii="宋体" w:hAnsi="宋体" w:cs="宋体"/>
          <w:b/>
          <w:bCs/>
          <w:szCs w:val="21"/>
        </w:rPr>
        <w:t>监理单位：</w:t>
      </w:r>
      <w:r>
        <w:rPr>
          <w:rFonts w:hint="eastAsia" w:ascii="宋体" w:hAnsi="宋体" w:cs="宋体"/>
          <w:b/>
          <w:bCs/>
          <w:szCs w:val="21"/>
          <w:u w:val="single"/>
        </w:rPr>
        <w:t xml:space="preserve">                                   </w:t>
      </w:r>
      <w:r>
        <w:rPr>
          <w:rFonts w:hint="eastAsia" w:ascii="宋体" w:hAnsi="宋体" w:cs="宋体"/>
          <w:b/>
          <w:bCs/>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04"/>
        <w:gridCol w:w="5351"/>
        <w:gridCol w:w="140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395"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704"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检查项目</w:t>
            </w:r>
          </w:p>
        </w:tc>
        <w:tc>
          <w:tcPr>
            <w:tcW w:w="5351" w:type="dxa"/>
            <w:vMerge w:val="restart"/>
            <w:noWrap w:val="0"/>
            <w:vAlign w:val="center"/>
          </w:tcPr>
          <w:p>
            <w:pPr>
              <w:jc w:val="center"/>
              <w:rPr>
                <w:rFonts w:ascii="宋体" w:hAnsi="宋体" w:cs="宋体"/>
                <w:b/>
                <w:bCs/>
                <w:szCs w:val="21"/>
              </w:rPr>
            </w:pPr>
            <w:r>
              <w:rPr>
                <w:rFonts w:hint="eastAsia" w:ascii="宋体" w:hAnsi="宋体" w:cs="宋体"/>
                <w:b/>
                <w:bCs/>
                <w:szCs w:val="21"/>
              </w:rPr>
              <w:t>检查内容及方式</w:t>
            </w:r>
          </w:p>
        </w:tc>
        <w:tc>
          <w:tcPr>
            <w:tcW w:w="3819" w:type="dxa"/>
            <w:gridSpan w:val="2"/>
            <w:noWrap w:val="0"/>
            <w:vAlign w:val="center"/>
          </w:tcPr>
          <w:p>
            <w:pPr>
              <w:jc w:val="center"/>
              <w:rPr>
                <w:rFonts w:hint="eastAsia" w:ascii="宋体" w:hAnsi="宋体" w:cs="宋体"/>
                <w:b/>
                <w:bCs/>
                <w:szCs w:val="21"/>
              </w:rPr>
            </w:pPr>
            <w:r>
              <w:rPr>
                <w:rFonts w:hint="eastAsia" w:ascii="宋体" w:hAnsi="宋体" w:cs="宋体"/>
                <w:b/>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395" w:type="dxa"/>
            <w:vMerge w:val="continue"/>
            <w:noWrap w:val="0"/>
            <w:vAlign w:val="center"/>
          </w:tcPr>
          <w:p>
            <w:pPr>
              <w:jc w:val="center"/>
            </w:pPr>
          </w:p>
        </w:tc>
        <w:tc>
          <w:tcPr>
            <w:tcW w:w="704" w:type="dxa"/>
            <w:vMerge w:val="continue"/>
            <w:noWrap w:val="0"/>
            <w:vAlign w:val="center"/>
          </w:tcPr>
          <w:p>
            <w:pPr>
              <w:jc w:val="center"/>
            </w:pPr>
          </w:p>
        </w:tc>
        <w:tc>
          <w:tcPr>
            <w:tcW w:w="5351" w:type="dxa"/>
            <w:vMerge w:val="continue"/>
            <w:noWrap w:val="0"/>
            <w:vAlign w:val="center"/>
          </w:tcPr>
          <w:p>
            <w:pPr>
              <w:jc w:val="center"/>
            </w:pPr>
          </w:p>
        </w:tc>
        <w:tc>
          <w:tcPr>
            <w:tcW w:w="1400" w:type="dxa"/>
            <w:noWrap w:val="0"/>
            <w:vAlign w:val="center"/>
          </w:tcPr>
          <w:p>
            <w:pPr>
              <w:jc w:val="center"/>
              <w:rPr>
                <w:rFonts w:hint="eastAsia" w:ascii="宋体" w:hAnsi="宋体" w:cs="宋体"/>
                <w:b/>
                <w:bCs/>
                <w:szCs w:val="21"/>
              </w:rPr>
            </w:pPr>
            <w:r>
              <w:rPr>
                <w:rFonts w:hint="eastAsia" w:ascii="宋体" w:hAnsi="宋体" w:cs="宋体"/>
                <w:b/>
                <w:bCs/>
                <w:szCs w:val="21"/>
              </w:rPr>
              <w:t>结论</w:t>
            </w:r>
          </w:p>
        </w:tc>
        <w:tc>
          <w:tcPr>
            <w:tcW w:w="2419" w:type="dxa"/>
            <w:noWrap w:val="0"/>
            <w:vAlign w:val="center"/>
          </w:tcPr>
          <w:p>
            <w:pPr>
              <w:jc w:val="center"/>
              <w:rPr>
                <w:rFonts w:hint="eastAsia" w:ascii="宋体" w:hAnsi="宋体" w:cs="宋体"/>
                <w:b/>
                <w:bCs/>
                <w:szCs w:val="21"/>
              </w:rPr>
            </w:pPr>
            <w:r>
              <w:rPr>
                <w:rFonts w:hint="eastAsia" w:ascii="宋体" w:hAnsi="宋体" w:cs="宋体"/>
                <w:b/>
                <w:bCs/>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5" w:type="dxa"/>
            <w:vMerge w:val="restart"/>
            <w:noWrap w:val="0"/>
            <w:vAlign w:val="center"/>
          </w:tcPr>
          <w:p>
            <w:pPr>
              <w:jc w:val="center"/>
              <w:rPr>
                <w:rFonts w:hint="eastAsia" w:ascii="宋体" w:hAnsi="宋体" w:cs="宋体"/>
                <w:szCs w:val="21"/>
              </w:rPr>
            </w:pPr>
            <w:r>
              <w:rPr>
                <w:rFonts w:hint="eastAsia" w:ascii="宋体" w:hAnsi="宋体" w:cs="宋体"/>
                <w:szCs w:val="21"/>
              </w:rPr>
              <w:t>1</w:t>
            </w:r>
          </w:p>
        </w:tc>
        <w:tc>
          <w:tcPr>
            <w:tcW w:w="704" w:type="dxa"/>
            <w:vMerge w:val="restart"/>
            <w:noWrap w:val="0"/>
            <w:vAlign w:val="center"/>
          </w:tcPr>
          <w:p>
            <w:pPr>
              <w:jc w:val="center"/>
              <w:rPr>
                <w:rFonts w:ascii="宋体" w:hAnsi="宋体" w:cs="宋体"/>
                <w:szCs w:val="21"/>
              </w:rPr>
            </w:pPr>
            <w:r>
              <w:rPr>
                <w:rFonts w:hint="eastAsia" w:ascii="宋体" w:hAnsi="宋体" w:cs="宋体"/>
                <w:szCs w:val="21"/>
              </w:rPr>
              <w:t>基坑及边坡</w:t>
            </w:r>
          </w:p>
        </w:tc>
        <w:tc>
          <w:tcPr>
            <w:tcW w:w="5351" w:type="dxa"/>
            <w:noWrap w:val="0"/>
            <w:vAlign w:val="center"/>
          </w:tcPr>
          <w:p>
            <w:pPr>
              <w:jc w:val="left"/>
              <w:rPr>
                <w:rFonts w:ascii="宋体" w:hAnsi="宋体" w:cs="宋体"/>
                <w:szCs w:val="21"/>
              </w:rPr>
            </w:pPr>
            <w:r>
              <w:rPr>
                <w:rFonts w:hint="eastAsia" w:ascii="宋体" w:hAnsi="宋体" w:cs="宋体"/>
                <w:szCs w:val="21"/>
              </w:rPr>
              <w:t>现场支护结构实体与设计图纸及设计变更是否相符</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ascii="宋体" w:hAnsi="宋体" w:cs="宋体"/>
                <w:szCs w:val="21"/>
              </w:rPr>
            </w:pPr>
            <w:r>
              <w:rPr>
                <w:rFonts w:hint="eastAsia" w:ascii="宋体" w:hAnsi="宋体" w:cs="宋体"/>
                <w:szCs w:val="21"/>
              </w:rPr>
              <w:t>基坑开挖前是否组织基坑开挖条件验收,现场是否满足基坑开挖条件(检查周边截排水措施、周边硬地化、临边防护、第三方监测布点、锚索检测情况、支撑梁强度等)</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土方开挖是否按方案进行分层分段开挖，分层开挖深度与坡度是否与方案一致,是否存在超挖；开挖前锚索、土钉是否及时张拉检测,内支撑支撑梁砼强度是否达到要求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坑（坡）顶是否超载，支撑梁上是否违规堆载，基坑1倍深度范围内是否设置住人板房、是否违规设置办公用房（未经设计单位计算复核）</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基坑侧壁是否有渗漏水情况，基坑排水是否通畅,坡脚是否泡水</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施工、监理单位是否定期巡查并记录；支护结构是否有明显变形开裂，周边建构筑物、道路及管线、地面等是否有明显沉降开裂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基坑开挖到底后，进入下道工序施工前，各方责任主体是否组织基坑安全评估；超过设计使用年限的基坑是否组织专家评估论证</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restart"/>
            <w:noWrap w:val="0"/>
            <w:vAlign w:val="center"/>
          </w:tcPr>
          <w:p>
            <w:pPr>
              <w:jc w:val="center"/>
              <w:rPr>
                <w:rFonts w:hint="eastAsia" w:ascii="宋体" w:hAnsi="宋体" w:cs="宋体"/>
                <w:szCs w:val="21"/>
              </w:rPr>
            </w:pPr>
            <w:r>
              <w:rPr>
                <w:rFonts w:hint="eastAsia" w:ascii="宋体" w:hAnsi="宋体" w:cs="宋体"/>
                <w:szCs w:val="21"/>
              </w:rPr>
              <w:t>2</w:t>
            </w:r>
          </w:p>
        </w:tc>
        <w:tc>
          <w:tcPr>
            <w:tcW w:w="704" w:type="dxa"/>
            <w:vMerge w:val="restart"/>
            <w:noWrap w:val="0"/>
            <w:vAlign w:val="center"/>
          </w:tcPr>
          <w:p>
            <w:pPr>
              <w:jc w:val="center"/>
              <w:rPr>
                <w:rFonts w:hint="eastAsia" w:ascii="宋体" w:hAnsi="宋体" w:cs="宋体"/>
                <w:szCs w:val="21"/>
              </w:rPr>
            </w:pPr>
            <w:r>
              <w:rPr>
                <w:rFonts w:hint="eastAsia" w:ascii="宋体" w:hAnsi="宋体" w:cs="宋体"/>
                <w:szCs w:val="21"/>
              </w:rPr>
              <w:t>人工挖孔桩</w:t>
            </w:r>
          </w:p>
        </w:tc>
        <w:tc>
          <w:tcPr>
            <w:tcW w:w="5351" w:type="dxa"/>
            <w:noWrap w:val="0"/>
            <w:vAlign w:val="center"/>
          </w:tcPr>
          <w:p>
            <w:pPr>
              <w:jc w:val="left"/>
              <w:rPr>
                <w:rFonts w:hint="eastAsia" w:ascii="宋体" w:hAnsi="宋体" w:cs="宋体"/>
                <w:szCs w:val="21"/>
              </w:rPr>
            </w:pPr>
            <w:r>
              <w:rPr>
                <w:rFonts w:hint="eastAsia" w:ascii="宋体" w:hAnsi="宋体" w:cs="宋体"/>
                <w:szCs w:val="21"/>
              </w:rPr>
              <w:t>抽水、照明、通风等是否符合要求，是否配备安全绳及软爬梯、上下吊笼，是否按规定进行气体测试</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rPr>
                <w:rFonts w:hint="eastAsia" w:ascii="宋体" w:hAnsi="宋体" w:cs="宋体"/>
                <w:szCs w:val="21"/>
              </w:rPr>
            </w:pPr>
            <w:r>
              <w:rPr>
                <w:rFonts w:hint="eastAsia" w:ascii="宋体" w:hAnsi="宋体" w:cs="宋体"/>
                <w:szCs w:val="21"/>
              </w:rPr>
              <w:t>孔口是否悬挂警示标识，孔口防护是否到位，周边是否存在杂物掉落隐患，是否按规定进行护壁施工</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卷扬机及钢丝绳是否满足要求，是否有漏电保护装置、自动限位停机装置，吊桶是否有安全吊钩</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5" w:type="dxa"/>
            <w:vMerge w:val="restart"/>
            <w:noWrap w:val="0"/>
            <w:vAlign w:val="center"/>
          </w:tcPr>
          <w:p>
            <w:pPr>
              <w:jc w:val="center"/>
              <w:rPr>
                <w:rFonts w:ascii="宋体" w:hAnsi="宋体" w:cs="宋体"/>
                <w:szCs w:val="21"/>
              </w:rPr>
            </w:pPr>
            <w:r>
              <w:rPr>
                <w:rFonts w:hint="eastAsia" w:ascii="宋体" w:hAnsi="宋体" w:cs="宋体"/>
                <w:szCs w:val="21"/>
              </w:rPr>
              <w:t>3</w:t>
            </w:r>
          </w:p>
        </w:tc>
        <w:tc>
          <w:tcPr>
            <w:tcW w:w="704" w:type="dxa"/>
            <w:vMerge w:val="restart"/>
            <w:noWrap w:val="0"/>
            <w:vAlign w:val="center"/>
          </w:tcPr>
          <w:p>
            <w:pPr>
              <w:jc w:val="center"/>
              <w:rPr>
                <w:rFonts w:hint="eastAsia" w:ascii="宋体" w:hAnsi="宋体" w:cs="宋体"/>
                <w:szCs w:val="21"/>
              </w:rPr>
            </w:pPr>
            <w:r>
              <w:rPr>
                <w:rFonts w:hint="eastAsia" w:ascii="宋体" w:hAnsi="宋体" w:cs="宋体"/>
                <w:szCs w:val="21"/>
              </w:rPr>
              <w:t>临边及洞口防护</w:t>
            </w:r>
          </w:p>
        </w:tc>
        <w:tc>
          <w:tcPr>
            <w:tcW w:w="5351" w:type="dxa"/>
            <w:noWrap w:val="0"/>
            <w:vAlign w:val="center"/>
          </w:tcPr>
          <w:p>
            <w:pPr>
              <w:jc w:val="left"/>
              <w:rPr>
                <w:rFonts w:hint="eastAsia" w:ascii="宋体" w:hAnsi="宋体" w:cs="宋体"/>
                <w:szCs w:val="21"/>
              </w:rPr>
            </w:pPr>
            <w:r>
              <w:rPr>
                <w:rFonts w:hint="eastAsia" w:ascii="宋体" w:hAnsi="宋体" w:cs="宋体"/>
                <w:szCs w:val="21"/>
              </w:rPr>
              <w:t>基坑周边及支撑梁通道是否采用标准化防护栏杆，防护栏杆设置是否牢固可靠</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泥浆池、三级沉淀池、桩孔口、地连墙成槽口等部位防护措施是否到位，是否设置警示标识，基坑内存在垂直交叉施工的部位是否设置防坠网（）</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95" w:type="dxa"/>
            <w:vMerge w:val="restart"/>
            <w:noWrap w:val="0"/>
            <w:vAlign w:val="center"/>
          </w:tcPr>
          <w:p>
            <w:pPr>
              <w:jc w:val="center"/>
              <w:rPr>
                <w:rFonts w:ascii="宋体" w:hAnsi="宋体" w:cs="宋体"/>
                <w:szCs w:val="21"/>
              </w:rPr>
            </w:pPr>
            <w:r>
              <w:rPr>
                <w:rFonts w:hint="eastAsia" w:ascii="宋体" w:hAnsi="宋体" w:cs="宋体"/>
                <w:szCs w:val="21"/>
              </w:rPr>
              <w:t>4</w:t>
            </w:r>
          </w:p>
        </w:tc>
        <w:tc>
          <w:tcPr>
            <w:tcW w:w="704" w:type="dxa"/>
            <w:vMerge w:val="restart"/>
            <w:noWrap w:val="0"/>
            <w:vAlign w:val="center"/>
          </w:tcPr>
          <w:p>
            <w:pPr>
              <w:jc w:val="center"/>
              <w:rPr>
                <w:rFonts w:ascii="宋体" w:hAnsi="宋体" w:cs="宋体"/>
                <w:szCs w:val="21"/>
              </w:rPr>
            </w:pPr>
            <w:r>
              <w:rPr>
                <w:rFonts w:hint="eastAsia" w:ascii="宋体" w:hAnsi="宋体" w:cs="宋体"/>
                <w:szCs w:val="21"/>
              </w:rPr>
              <w:t>临时用电及消防</w:t>
            </w:r>
          </w:p>
        </w:tc>
        <w:tc>
          <w:tcPr>
            <w:tcW w:w="5351" w:type="dxa"/>
            <w:noWrap w:val="0"/>
            <w:vAlign w:val="center"/>
          </w:tcPr>
          <w:p>
            <w:pPr>
              <w:rPr>
                <w:rFonts w:hint="eastAsia" w:ascii="宋体" w:hAnsi="宋体" w:cs="宋体"/>
                <w:szCs w:val="21"/>
              </w:rPr>
            </w:pPr>
            <w:r>
              <w:rPr>
                <w:rFonts w:hint="eastAsia" w:ascii="宋体" w:hAnsi="宋体"/>
                <w:szCs w:val="21"/>
              </w:rPr>
              <w:t>外电线路与在建工程及脚手架、起重机械、场内机动车道之间的安全距离是否符合规范要求或有有效的防护措施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施工用电总箱及开关箱两级漏电保护是否灵敏可靠，施工机具是否满足“一机一闸一漏一箱”用电要求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电线电缆敷设是否满足规范要求，保护零线是否进出齐全</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用电机具的金属外壳是否与保护零线明显可靠连接，是否违规使用交流电焊机</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宿舍是否按要求使用USB充电，宿舍是否违规使用220V用电插座</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施工现场的模板、油漆、防水涂料、氧气瓶、乙炔瓶等易燃、易爆物品的放置、使用、储存是否符合安全要求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电动机具充电是否集中管理，集中充电点是否为开放式，并与作业区、宿舍保持安全距离</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szCs w:val="21"/>
              </w:rPr>
              <w:t>施工现场是否按规定要求配置消防设施（含消防水源），消防水泵是否一用一备，消火栓泵是否采用专用消防配电线路</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restart"/>
            <w:noWrap w:val="0"/>
            <w:vAlign w:val="center"/>
          </w:tcPr>
          <w:p>
            <w:pPr>
              <w:jc w:val="center"/>
              <w:rPr>
                <w:rFonts w:ascii="宋体" w:hAnsi="宋体" w:cs="宋体"/>
                <w:szCs w:val="21"/>
              </w:rPr>
            </w:pPr>
            <w:r>
              <w:rPr>
                <w:rFonts w:hint="eastAsia" w:ascii="宋体" w:hAnsi="宋体" w:cs="宋体"/>
                <w:szCs w:val="21"/>
              </w:rPr>
              <w:t>5</w:t>
            </w:r>
          </w:p>
        </w:tc>
        <w:tc>
          <w:tcPr>
            <w:tcW w:w="704" w:type="dxa"/>
            <w:vMerge w:val="restart"/>
            <w:noWrap w:val="0"/>
            <w:vAlign w:val="center"/>
          </w:tcPr>
          <w:p>
            <w:pPr>
              <w:jc w:val="center"/>
              <w:rPr>
                <w:rFonts w:hint="eastAsia" w:ascii="宋体" w:hAnsi="宋体" w:cs="宋体"/>
                <w:szCs w:val="21"/>
              </w:rPr>
            </w:pPr>
            <w:r>
              <w:rPr>
                <w:rFonts w:hint="eastAsia" w:ascii="宋体" w:hAnsi="宋体" w:cs="宋体"/>
                <w:szCs w:val="21"/>
              </w:rPr>
              <w:t>起重机械与施工机具</w:t>
            </w:r>
          </w:p>
        </w:tc>
        <w:tc>
          <w:tcPr>
            <w:tcW w:w="5351" w:type="dxa"/>
            <w:noWrap w:val="0"/>
            <w:vAlign w:val="center"/>
          </w:tcPr>
          <w:p>
            <w:pPr>
              <w:jc w:val="left"/>
              <w:rPr>
                <w:rFonts w:hint="eastAsia" w:ascii="宋体" w:hAnsi="宋体" w:cs="宋体"/>
                <w:szCs w:val="21"/>
              </w:rPr>
            </w:pPr>
            <w:r>
              <w:rPr>
                <w:rFonts w:hint="eastAsia" w:ascii="宋体" w:hAnsi="宋体" w:cs="宋体"/>
                <w:szCs w:val="21"/>
              </w:rPr>
              <w:t>流动式起重机械“一机一档”资料是否齐全，是否按规定在本市检测机构检验合格（首次检测可不要求必须本市检测），是否进行联合验收</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流动式起重机械吊臂作业范围内是否有障碍物或其它设施、吊装作业时是否配置信号司索工、起重吊装作业是否设置明显的安全警示标志</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起重吊装是否存在违反“十不吊”安全规定的行为、吊具索具是否符合要求、散装材料或零星材料是否使用专用器具或料斗吊装</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桩机、流动式起重机械等高耸机械行经路线及落位处是否进行硬地化，流动式起重机械作业时支腿是否按规定伸展及支撑</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钢筋滚笼机滚筒附近是否安装防止人员靠近自动红外监测断电报警装置</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95" w:type="dxa"/>
            <w:vMerge w:val="restart"/>
            <w:noWrap w:val="0"/>
            <w:vAlign w:val="center"/>
          </w:tcPr>
          <w:p>
            <w:pPr>
              <w:jc w:val="center"/>
              <w:rPr>
                <w:rFonts w:ascii="宋体" w:hAnsi="宋体" w:cs="宋体"/>
                <w:szCs w:val="21"/>
              </w:rPr>
            </w:pPr>
            <w:r>
              <w:rPr>
                <w:rFonts w:hint="eastAsia" w:ascii="宋体" w:hAnsi="宋体" w:cs="宋体"/>
                <w:szCs w:val="21"/>
              </w:rPr>
              <w:t>6</w:t>
            </w:r>
          </w:p>
        </w:tc>
        <w:tc>
          <w:tcPr>
            <w:tcW w:w="704" w:type="dxa"/>
            <w:vMerge w:val="restart"/>
            <w:noWrap w:val="0"/>
            <w:vAlign w:val="center"/>
          </w:tcPr>
          <w:p>
            <w:pPr>
              <w:jc w:val="center"/>
              <w:rPr>
                <w:rFonts w:hint="eastAsia" w:ascii="宋体" w:hAnsi="宋体" w:cs="宋体"/>
                <w:szCs w:val="21"/>
              </w:rPr>
            </w:pPr>
            <w:r>
              <w:rPr>
                <w:rFonts w:hint="eastAsia" w:ascii="宋体" w:hAnsi="宋体" w:cs="宋体"/>
                <w:szCs w:val="21"/>
              </w:rPr>
              <w:t>建筑废弃物管理</w:t>
            </w:r>
          </w:p>
        </w:tc>
        <w:tc>
          <w:tcPr>
            <w:tcW w:w="5351" w:type="dxa"/>
            <w:noWrap w:val="0"/>
            <w:vAlign w:val="center"/>
          </w:tcPr>
          <w:p>
            <w:pPr>
              <w:jc w:val="left"/>
              <w:rPr>
                <w:rFonts w:hint="eastAsia" w:ascii="宋体" w:hAnsi="宋体" w:cs="宋体"/>
                <w:szCs w:val="21"/>
              </w:rPr>
            </w:pPr>
            <w:r>
              <w:rPr>
                <w:rFonts w:hint="eastAsia" w:ascii="宋体" w:hAnsi="宋体" w:cs="宋体"/>
                <w:szCs w:val="21"/>
              </w:rPr>
              <w:t>工地出入口、冲洗设施、视频监控是否满足要求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泥头车是否带泥上路、盖板是否封闭、是否使用不符合要求泥头车</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95" w:type="dxa"/>
            <w:vMerge w:val="continue"/>
            <w:noWrap w:val="0"/>
            <w:vAlign w:val="center"/>
          </w:tcPr>
          <w:p>
            <w:pPr>
              <w:jc w:val="center"/>
              <w:rPr>
                <w:rFonts w:hint="eastAsia" w:ascii="宋体" w:hAnsi="宋体" w:cs="宋体"/>
                <w:szCs w:val="21"/>
              </w:rPr>
            </w:pPr>
          </w:p>
        </w:tc>
        <w:tc>
          <w:tcPr>
            <w:tcW w:w="704" w:type="dxa"/>
            <w:vMerge w:val="continue"/>
            <w:noWrap w:val="0"/>
            <w:vAlign w:val="center"/>
          </w:tcPr>
          <w:p>
            <w:pPr>
              <w:jc w:val="center"/>
              <w:rPr>
                <w:rFonts w:hint="eastAsia" w:ascii="宋体" w:hAnsi="宋体" w:cs="宋体"/>
                <w:szCs w:val="21"/>
              </w:rPr>
            </w:pPr>
          </w:p>
        </w:tc>
        <w:tc>
          <w:tcPr>
            <w:tcW w:w="5351" w:type="dxa"/>
            <w:noWrap w:val="0"/>
            <w:vAlign w:val="center"/>
          </w:tcPr>
          <w:p>
            <w:pPr>
              <w:jc w:val="left"/>
              <w:rPr>
                <w:rFonts w:hint="eastAsia" w:ascii="宋体" w:hAnsi="宋体" w:cs="宋体"/>
                <w:szCs w:val="21"/>
              </w:rPr>
            </w:pPr>
            <w:r>
              <w:rPr>
                <w:rFonts w:hint="eastAsia" w:ascii="宋体" w:hAnsi="宋体" w:cs="宋体"/>
                <w:szCs w:val="21"/>
              </w:rPr>
              <w:t>电子联单签认率是否低于90%，未申报率是否高于30%</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95" w:type="dxa"/>
            <w:noWrap w:val="0"/>
            <w:vAlign w:val="center"/>
          </w:tcPr>
          <w:p>
            <w:pPr>
              <w:jc w:val="center"/>
              <w:rPr>
                <w:rFonts w:ascii="宋体" w:hAnsi="宋体" w:cs="宋体"/>
                <w:szCs w:val="21"/>
              </w:rPr>
            </w:pPr>
            <w:r>
              <w:rPr>
                <w:rFonts w:hint="eastAsia" w:ascii="宋体" w:hAnsi="宋体" w:cs="宋体"/>
                <w:szCs w:val="21"/>
              </w:rPr>
              <w:t>7</w:t>
            </w:r>
          </w:p>
        </w:tc>
        <w:tc>
          <w:tcPr>
            <w:tcW w:w="704" w:type="dxa"/>
            <w:noWrap w:val="0"/>
            <w:vAlign w:val="center"/>
          </w:tcPr>
          <w:p>
            <w:pPr>
              <w:jc w:val="center"/>
              <w:rPr>
                <w:rFonts w:hint="eastAsia" w:ascii="宋体" w:hAnsi="宋体" w:cs="宋体"/>
                <w:szCs w:val="21"/>
              </w:rPr>
            </w:pPr>
            <w:r>
              <w:rPr>
                <w:rFonts w:hint="eastAsia" w:ascii="宋体" w:hAnsi="宋体" w:cs="宋体"/>
                <w:szCs w:val="21"/>
              </w:rPr>
              <w:t>扬尘防治</w:t>
            </w:r>
          </w:p>
        </w:tc>
        <w:tc>
          <w:tcPr>
            <w:tcW w:w="5351" w:type="dxa"/>
            <w:noWrap w:val="0"/>
            <w:vAlign w:val="center"/>
          </w:tcPr>
          <w:p>
            <w:pPr>
              <w:jc w:val="left"/>
              <w:rPr>
                <w:rFonts w:hint="eastAsia" w:ascii="宋体" w:hAnsi="宋体" w:cs="宋体"/>
                <w:szCs w:val="21"/>
              </w:rPr>
            </w:pPr>
            <w:r>
              <w:rPr>
                <w:rFonts w:hint="eastAsia" w:ascii="宋体" w:hAnsi="宋体" w:cs="宋体"/>
                <w:szCs w:val="21"/>
              </w:rPr>
              <w:t>是否满足扬尘防治“6个100%”要求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bl>
    <w:p>
      <w:pPr>
        <w:jc w:val="left"/>
        <w:rPr>
          <w:rFonts w:hint="eastAsia"/>
          <w:szCs w:val="21"/>
        </w:rPr>
      </w:pPr>
    </w:p>
    <w:p>
      <w:pPr>
        <w:jc w:val="left"/>
        <w:rPr>
          <w:szCs w:val="21"/>
        </w:rPr>
      </w:pPr>
      <w:r>
        <w:rPr>
          <w:rFonts w:hint="eastAsia"/>
          <w:szCs w:val="21"/>
        </w:rPr>
        <w:t>检查人员：                                                    检查日期：</w:t>
      </w:r>
    </w:p>
    <w:p>
      <w:pPr>
        <w:jc w:val="left"/>
        <w:rPr>
          <w:rFonts w:hint="eastAsia"/>
          <w:szCs w:val="21"/>
          <w:lang w:val="zh-CN"/>
        </w:rPr>
        <w:sectPr>
          <w:pgSz w:w="11906" w:h="16838"/>
          <w:pgMar w:top="1440" w:right="1080" w:bottom="1440" w:left="1080" w:header="851" w:footer="992" w:gutter="0"/>
          <w:pgNumType w:fmt="numberInDash"/>
          <w:cols w:space="720" w:num="1"/>
          <w:titlePg/>
          <w:docGrid w:type="lines" w:linePitch="312" w:charSpace="0"/>
        </w:sectPr>
      </w:pPr>
    </w:p>
    <w:p>
      <w:pPr>
        <w:jc w:val="left"/>
        <w:rPr>
          <w:rFonts w:hint="eastAsia" w:ascii="仿宋_GB2312" w:hAnsi="仿宋_GB2312" w:eastAsia="仿宋_GB2312" w:cs="仿宋_GB2312"/>
          <w:sz w:val="30"/>
          <w:szCs w:val="30"/>
        </w:rPr>
      </w:pPr>
    </w:p>
    <w:p>
      <w:pPr>
        <w:jc w:val="center"/>
        <w:rPr>
          <w:rFonts w:hint="eastAsia"/>
          <w:b/>
          <w:bCs/>
          <w:sz w:val="32"/>
          <w:szCs w:val="32"/>
        </w:rPr>
      </w:pPr>
      <w:r>
        <w:rPr>
          <w:rFonts w:hint="eastAsia" w:ascii="宋体" w:hAnsi="宋体" w:cs="宋体"/>
          <w:b/>
          <w:bCs/>
          <w:sz w:val="32"/>
          <w:szCs w:val="32"/>
        </w:rPr>
        <w:t>建筑施工百日攻坚整治检查表（房屋建筑工程-主体及装修阶段）</w:t>
      </w:r>
    </w:p>
    <w:p>
      <w:pPr>
        <w:spacing w:line="360" w:lineRule="auto"/>
        <w:jc w:val="left"/>
        <w:rPr>
          <w:rFonts w:ascii="宋体" w:hAnsi="宋体" w:cs="宋体"/>
          <w:b/>
          <w:bCs/>
          <w:szCs w:val="21"/>
        </w:rPr>
      </w:pPr>
      <w:r>
        <w:rPr>
          <w:rFonts w:hint="eastAsia" w:ascii="宋体" w:hAnsi="宋体" w:cs="宋体"/>
          <w:b/>
          <w:bCs/>
          <w:szCs w:val="21"/>
        </w:rPr>
        <w:t>工程名称：</w:t>
      </w:r>
      <w:r>
        <w:rPr>
          <w:rFonts w:hint="eastAsia" w:ascii="宋体" w:hAnsi="宋体" w:cs="宋体"/>
          <w:b/>
          <w:bCs/>
          <w:szCs w:val="21"/>
          <w:u w:val="single"/>
        </w:rPr>
        <w:t xml:space="preserve">                                 </w:t>
      </w:r>
      <w:r>
        <w:rPr>
          <w:rFonts w:hint="eastAsia" w:ascii="宋体" w:hAnsi="宋体" w:cs="宋体"/>
          <w:b/>
          <w:bCs/>
          <w:szCs w:val="21"/>
        </w:rPr>
        <w:t>施工阶段：</w:t>
      </w:r>
      <w:r>
        <w:rPr>
          <w:rFonts w:hint="eastAsia" w:ascii="宋体" w:hAnsi="宋体" w:cs="宋体"/>
          <w:b/>
          <w:bCs/>
          <w:szCs w:val="21"/>
          <w:u w:val="single"/>
        </w:rPr>
        <w:t xml:space="preserve">       </w:t>
      </w:r>
      <w:r>
        <w:rPr>
          <w:rFonts w:hint="eastAsia" w:ascii="宋体" w:hAnsi="宋体" w:cs="宋体"/>
          <w:szCs w:val="21"/>
          <w:u w:val="single"/>
        </w:rPr>
        <w:t xml:space="preserve">主体、装修阶段                 </w:t>
      </w:r>
    </w:p>
    <w:p>
      <w:pPr>
        <w:spacing w:line="360" w:lineRule="auto"/>
        <w:jc w:val="left"/>
        <w:rPr>
          <w:rFonts w:ascii="宋体" w:hAnsi="宋体" w:cs="宋体"/>
          <w:sz w:val="10"/>
          <w:szCs w:val="10"/>
        </w:rPr>
      </w:pPr>
      <w:r>
        <w:rPr>
          <w:rFonts w:hint="eastAsia" w:ascii="宋体" w:hAnsi="宋体" w:cs="宋体"/>
          <w:b/>
          <w:bCs/>
          <w:szCs w:val="21"/>
        </w:rPr>
        <w:t>施工单位：</w:t>
      </w:r>
      <w:r>
        <w:rPr>
          <w:rFonts w:hint="eastAsia" w:ascii="宋体" w:hAnsi="宋体" w:cs="宋体"/>
          <w:b/>
          <w:bCs/>
          <w:szCs w:val="21"/>
          <w:u w:val="single"/>
        </w:rPr>
        <w:t xml:space="preserve">                                 </w:t>
      </w:r>
      <w:r>
        <w:rPr>
          <w:rFonts w:hint="eastAsia" w:ascii="宋体" w:hAnsi="宋体" w:cs="宋体"/>
          <w:b/>
          <w:bCs/>
          <w:szCs w:val="21"/>
        </w:rPr>
        <w:t>监理单位：</w:t>
      </w:r>
      <w:r>
        <w:rPr>
          <w:rFonts w:hint="eastAsia" w:ascii="宋体" w:hAnsi="宋体" w:cs="宋体"/>
          <w:b/>
          <w:bCs/>
          <w:szCs w:val="21"/>
          <w:u w:val="single"/>
        </w:rPr>
        <w:t xml:space="preserve">                                   </w:t>
      </w:r>
      <w:r>
        <w:rPr>
          <w:rFonts w:hint="eastAsia" w:ascii="宋体" w:hAnsi="宋体" w:cs="宋体"/>
          <w:b/>
          <w:bCs/>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86"/>
        <w:gridCol w:w="4832"/>
        <w:gridCol w:w="140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jc w:val="center"/>
        </w:trPr>
        <w:tc>
          <w:tcPr>
            <w:tcW w:w="587" w:type="dxa"/>
            <w:vMerge w:val="restart"/>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886" w:type="dxa"/>
            <w:vMerge w:val="restart"/>
            <w:noWrap w:val="0"/>
            <w:vAlign w:val="center"/>
          </w:tcPr>
          <w:p>
            <w:pPr>
              <w:jc w:val="center"/>
              <w:rPr>
                <w:rFonts w:hint="eastAsia" w:ascii="宋体" w:hAnsi="宋体" w:cs="宋体"/>
                <w:b/>
                <w:bCs/>
                <w:sz w:val="18"/>
                <w:szCs w:val="18"/>
              </w:rPr>
            </w:pPr>
            <w:r>
              <w:rPr>
                <w:rFonts w:hint="eastAsia" w:ascii="宋体" w:hAnsi="宋体" w:cs="宋体"/>
                <w:b/>
                <w:bCs/>
                <w:sz w:val="18"/>
                <w:szCs w:val="18"/>
              </w:rPr>
              <w:t>检查</w:t>
            </w:r>
          </w:p>
          <w:p>
            <w:pPr>
              <w:jc w:val="center"/>
              <w:rPr>
                <w:rFonts w:hint="eastAsia" w:ascii="宋体" w:hAnsi="宋体" w:cs="宋体"/>
                <w:b/>
                <w:bCs/>
                <w:sz w:val="18"/>
                <w:szCs w:val="18"/>
              </w:rPr>
            </w:pPr>
            <w:r>
              <w:rPr>
                <w:rFonts w:hint="eastAsia" w:ascii="宋体" w:hAnsi="宋体" w:cs="宋体"/>
                <w:b/>
                <w:bCs/>
                <w:sz w:val="18"/>
                <w:szCs w:val="18"/>
              </w:rPr>
              <w:t>项目</w:t>
            </w:r>
          </w:p>
        </w:tc>
        <w:tc>
          <w:tcPr>
            <w:tcW w:w="4832" w:type="dxa"/>
            <w:vMerge w:val="restart"/>
            <w:noWrap w:val="0"/>
            <w:vAlign w:val="center"/>
          </w:tcPr>
          <w:p>
            <w:pPr>
              <w:jc w:val="center"/>
              <w:rPr>
                <w:rFonts w:hint="eastAsia" w:ascii="宋体" w:hAnsi="宋体" w:cs="宋体"/>
                <w:b/>
                <w:bCs/>
                <w:sz w:val="18"/>
                <w:szCs w:val="18"/>
              </w:rPr>
            </w:pPr>
            <w:r>
              <w:rPr>
                <w:rFonts w:hint="eastAsia" w:ascii="宋体" w:hAnsi="宋体" w:cs="宋体"/>
                <w:b/>
                <w:bCs/>
                <w:sz w:val="18"/>
                <w:szCs w:val="18"/>
              </w:rPr>
              <w:t>检查内容</w:t>
            </w:r>
          </w:p>
        </w:tc>
        <w:tc>
          <w:tcPr>
            <w:tcW w:w="3819" w:type="dxa"/>
            <w:gridSpan w:val="2"/>
            <w:noWrap w:val="0"/>
            <w:vAlign w:val="center"/>
          </w:tcPr>
          <w:p>
            <w:pPr>
              <w:jc w:val="center"/>
              <w:rPr>
                <w:rFonts w:hint="eastAsia" w:ascii="宋体" w:hAnsi="宋体" w:cs="宋体"/>
                <w:b/>
                <w:bCs/>
                <w:sz w:val="18"/>
                <w:szCs w:val="18"/>
              </w:rPr>
            </w:pPr>
            <w:r>
              <w:rPr>
                <w:rFonts w:hint="eastAsia" w:ascii="宋体" w:hAnsi="宋体" w:cs="宋体"/>
                <w:b/>
                <w:bCs/>
                <w:sz w:val="18"/>
                <w:szCs w:val="18"/>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blHeader/>
          <w:jc w:val="center"/>
        </w:trPr>
        <w:tc>
          <w:tcPr>
            <w:tcW w:w="587" w:type="dxa"/>
            <w:vMerge w:val="continue"/>
            <w:noWrap w:val="0"/>
            <w:vAlign w:val="center"/>
          </w:tcPr>
          <w:p>
            <w:pPr>
              <w:jc w:val="center"/>
            </w:pPr>
          </w:p>
        </w:tc>
        <w:tc>
          <w:tcPr>
            <w:tcW w:w="886" w:type="dxa"/>
            <w:vMerge w:val="continue"/>
            <w:noWrap w:val="0"/>
            <w:vAlign w:val="center"/>
          </w:tcPr>
          <w:p>
            <w:pPr>
              <w:jc w:val="center"/>
            </w:pPr>
          </w:p>
        </w:tc>
        <w:tc>
          <w:tcPr>
            <w:tcW w:w="4832" w:type="dxa"/>
            <w:vMerge w:val="continue"/>
            <w:noWrap w:val="0"/>
            <w:vAlign w:val="center"/>
          </w:tcPr>
          <w:p>
            <w:pPr>
              <w:jc w:val="center"/>
            </w:pPr>
          </w:p>
        </w:tc>
        <w:tc>
          <w:tcPr>
            <w:tcW w:w="1400"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结论</w:t>
            </w:r>
          </w:p>
        </w:tc>
        <w:tc>
          <w:tcPr>
            <w:tcW w:w="2419"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restart"/>
            <w:noWrap w:val="0"/>
            <w:vAlign w:val="center"/>
          </w:tcPr>
          <w:p>
            <w:pPr>
              <w:jc w:val="center"/>
              <w:rPr>
                <w:rFonts w:hint="eastAsia" w:ascii="宋体" w:hAnsi="宋体" w:cs="宋体"/>
                <w:szCs w:val="21"/>
              </w:rPr>
            </w:pPr>
            <w:r>
              <w:rPr>
                <w:rFonts w:hint="eastAsia" w:ascii="宋体" w:hAnsi="宋体" w:cs="宋体"/>
                <w:szCs w:val="21"/>
              </w:rPr>
              <w:t>1</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建筑起重机械</w:t>
            </w:r>
          </w:p>
        </w:tc>
        <w:tc>
          <w:tcPr>
            <w:tcW w:w="4832" w:type="dxa"/>
            <w:noWrap w:val="0"/>
            <w:vAlign w:val="center"/>
          </w:tcPr>
          <w:p>
            <w:pPr>
              <w:jc w:val="left"/>
              <w:rPr>
                <w:rFonts w:hint="eastAsia" w:ascii="宋体" w:hAnsi="宋体" w:cs="宋体"/>
                <w:szCs w:val="21"/>
              </w:rPr>
            </w:pPr>
            <w:r>
              <w:rPr>
                <w:rFonts w:hint="eastAsia" w:ascii="宋体" w:hAnsi="宋体" w:cs="宋体"/>
                <w:szCs w:val="21"/>
              </w:rPr>
              <w:t>塔吊第一道附墙是否按规定进行检测，附墙是否按规定进行验收。</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塔吊吊装是否存在违反“十不吊”安全规定的行为。（重点检查有无长短混吊、散料是否用料斗）。</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塔吊附墙方式是否与方案相符，附墙框架是否能提供原制造商出具的合格证。</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rPr>
                <w:rFonts w:hint="eastAsia" w:ascii="宋体" w:hAnsi="宋体" w:cs="宋体"/>
                <w:szCs w:val="21"/>
              </w:rPr>
            </w:pPr>
            <w:r>
              <w:rPr>
                <w:rFonts w:hint="eastAsia"/>
              </w:rPr>
              <w:t>有《塔机使用补充说明书》（深圳版）的塔吊，是否按照补充说明书要求采取相应防台风措施。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rPr>
                <w:rFonts w:hint="eastAsia" w:ascii="宋体" w:hAnsi="宋体" w:cs="宋体"/>
                <w:szCs w:val="21"/>
              </w:rPr>
            </w:pPr>
            <w:r>
              <w:rPr>
                <w:rFonts w:hint="eastAsia"/>
              </w:rPr>
              <w:t>无《塔机使用补充说明书》（深圳版）的塔吊，是否在允许安装最大独立高度或最大悬臂高度基础上一律降低两个标准节使用。</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施工电梯梯笼防坠器是否超过标定期限（1年），是否超过使用寿命（5年）。</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施工电梯最后一道附着上方是否装设层门与进出平台，最上一节标准节是否安装齿条。</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restart"/>
            <w:noWrap w:val="0"/>
            <w:vAlign w:val="center"/>
          </w:tcPr>
          <w:p>
            <w:pPr>
              <w:jc w:val="center"/>
              <w:rPr>
                <w:rFonts w:ascii="宋体" w:hAnsi="宋体" w:cs="宋体"/>
                <w:szCs w:val="21"/>
              </w:rPr>
            </w:pPr>
            <w:r>
              <w:rPr>
                <w:rFonts w:hint="eastAsia" w:ascii="宋体" w:hAnsi="宋体" w:cs="宋体"/>
                <w:szCs w:val="21"/>
              </w:rPr>
              <w:t>2</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模板</w:t>
            </w:r>
          </w:p>
          <w:p>
            <w:pPr>
              <w:jc w:val="center"/>
              <w:rPr>
                <w:rFonts w:hint="eastAsia" w:ascii="宋体" w:hAnsi="宋体" w:cs="宋体"/>
                <w:szCs w:val="21"/>
              </w:rPr>
            </w:pPr>
            <w:r>
              <w:rPr>
                <w:rFonts w:hint="eastAsia" w:ascii="宋体" w:hAnsi="宋体" w:cs="宋体"/>
                <w:szCs w:val="21"/>
              </w:rPr>
              <w:t>支架</w:t>
            </w:r>
          </w:p>
        </w:tc>
        <w:tc>
          <w:tcPr>
            <w:tcW w:w="4832" w:type="dxa"/>
            <w:noWrap w:val="0"/>
            <w:vAlign w:val="center"/>
          </w:tcPr>
          <w:p>
            <w:pPr>
              <w:jc w:val="left"/>
              <w:rPr>
                <w:rFonts w:hint="eastAsia" w:ascii="宋体" w:hAnsi="宋体" w:cs="宋体"/>
                <w:szCs w:val="21"/>
              </w:rPr>
            </w:pPr>
            <w:r>
              <w:rPr>
                <w:rFonts w:hint="eastAsia" w:ascii="宋体" w:hAnsi="宋体" w:cs="宋体"/>
                <w:szCs w:val="21"/>
              </w:rPr>
              <w:t>支撑体系搭设是否与方案一致（基础承载力、杆件质量、立杆间距、水平杆步距、抱柱措施、水平及竖向剪刀撑的连贯性及间距、自由端及顶托伸出长度等）。</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高度超过3.6m的架体是否在第一步架挂设水平兜网，是否向上每隔约5.4m设施一道水平兜网，是否违规使用安全网代替水平兜网。</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是否违规提前拆模，是否违规拆除水平杆、扫地杆，拆除工作是否与拆除试块报告、拆除方案一致，模板支架拆除时，是否设置警戒区并专人监护。</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587" w:type="dxa"/>
            <w:vMerge w:val="restart"/>
            <w:noWrap w:val="0"/>
            <w:vAlign w:val="center"/>
          </w:tcPr>
          <w:p>
            <w:pPr>
              <w:jc w:val="center"/>
              <w:rPr>
                <w:rFonts w:hint="eastAsia" w:ascii="宋体" w:hAnsi="宋体" w:cs="宋体"/>
                <w:szCs w:val="21"/>
              </w:rPr>
            </w:pPr>
            <w:r>
              <w:rPr>
                <w:rFonts w:hint="eastAsia" w:ascii="宋体" w:hAnsi="宋体" w:cs="宋体"/>
                <w:szCs w:val="21"/>
              </w:rPr>
              <w:t>3</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落地式及悬挑式脚手架</w:t>
            </w:r>
          </w:p>
        </w:tc>
        <w:tc>
          <w:tcPr>
            <w:tcW w:w="4832" w:type="dxa"/>
            <w:noWrap w:val="0"/>
            <w:vAlign w:val="center"/>
          </w:tcPr>
          <w:p>
            <w:pPr>
              <w:jc w:val="left"/>
              <w:rPr>
                <w:rFonts w:hint="eastAsia" w:ascii="宋体" w:hAnsi="宋体" w:cs="宋体"/>
                <w:szCs w:val="21"/>
              </w:rPr>
            </w:pPr>
            <w:r>
              <w:rPr>
                <w:rFonts w:hint="eastAsia" w:ascii="宋体" w:hAnsi="宋体" w:cs="宋体"/>
                <w:szCs w:val="21"/>
              </w:rPr>
              <w:t>架体搭设是否与施工方案一致（基层承载力、杆件质量、立杆间距、剪刀撑连续性及连墙杆设置等）。</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ascii="宋体" w:hAnsi="宋体" w:cs="宋体"/>
                <w:szCs w:val="21"/>
              </w:rPr>
            </w:pPr>
            <w:r>
              <w:rPr>
                <w:rFonts w:hint="eastAsia" w:ascii="宋体" w:hAnsi="宋体" w:cs="宋体"/>
                <w:szCs w:val="21"/>
              </w:rPr>
              <w:t>悬挑层是否进行全硬封闭，常规部位与转角部位的长度比例、悬挑工字钢悬挑与固定端的比例是否满足要求，立杆底部与悬挑钢梁连接处是否采取可靠固定措施。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外脚手架与建筑物之间是否每隔10米设置硬质防护，其余每层均设水平兜网防护。</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外架是否随结构上升而加高，高出工作面一步架以上，脚手架外侧是否挂设满铺安全网，并拉结牢固。</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脚手架拆除作业是否自上而下逐层进行，分段拆除不应大于两步架（连墙杆是否随架体逐层拆除），拆除时是否设置警戒区并派专人监护。</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587" w:type="dxa"/>
            <w:vMerge w:val="restart"/>
            <w:noWrap w:val="0"/>
            <w:vAlign w:val="center"/>
          </w:tcPr>
          <w:p>
            <w:pPr>
              <w:jc w:val="center"/>
              <w:rPr>
                <w:rFonts w:hint="eastAsia" w:ascii="宋体" w:hAnsi="宋体" w:cs="宋体"/>
                <w:szCs w:val="21"/>
              </w:rPr>
            </w:pPr>
            <w:r>
              <w:rPr>
                <w:rFonts w:hint="eastAsia" w:ascii="宋体" w:hAnsi="宋体" w:cs="宋体"/>
                <w:szCs w:val="21"/>
              </w:rPr>
              <w:t>4</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附着式升降</w:t>
            </w:r>
          </w:p>
          <w:p>
            <w:pPr>
              <w:jc w:val="center"/>
              <w:rPr>
                <w:rFonts w:hint="eastAsia" w:ascii="宋体" w:hAnsi="宋体" w:cs="宋体"/>
                <w:szCs w:val="21"/>
              </w:rPr>
            </w:pPr>
            <w:r>
              <w:rPr>
                <w:rFonts w:hint="eastAsia" w:ascii="宋体" w:hAnsi="宋体" w:cs="宋体"/>
                <w:szCs w:val="21"/>
              </w:rPr>
              <w:t>脚手架</w:t>
            </w:r>
          </w:p>
        </w:tc>
        <w:tc>
          <w:tcPr>
            <w:tcW w:w="4832" w:type="dxa"/>
            <w:noWrap w:val="0"/>
            <w:vAlign w:val="center"/>
          </w:tcPr>
          <w:p>
            <w:pPr>
              <w:jc w:val="left"/>
              <w:rPr>
                <w:rFonts w:hint="eastAsia" w:ascii="宋体" w:hAnsi="宋体" w:cs="宋体"/>
                <w:szCs w:val="21"/>
              </w:rPr>
            </w:pPr>
            <w:r>
              <w:rPr>
                <w:rFonts w:hint="eastAsia" w:ascii="宋体" w:hAnsi="宋体" w:cs="宋体"/>
                <w:szCs w:val="21"/>
              </w:rPr>
              <w:t>附着式升降脚手架安装单位是否具有相关资质，安装人员是否持特种操作证上岗，附着式升降脚手架投入使用前是否检测并验收合格。（安拆、升降专业承包的企业应当取得建设行政主管部门颁发的模板脚手架专业承包资质证书及安全生产许可证；安拆、升降等特种作业人员应当持有省级建设主管部门颁发的附着式升降脚手架架子工特种作业操作资格证书）。</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附着式升降脚手架底层、架体防护范围内的建筑结构第三层与架体接触的通道是否全密封防护。</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使用工况下每个机位是否设置三道附墙支座，提升工况下每个机位是否设置两道附墙支座，防倾覆装置、防坠落装置、同步控制装置是否按规定设置。</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升降设备（吊点）与防坠落装置是否分别独立固定在建筑结构上。</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物料平台是否违规与附着式升降脚手架各部位和各结构构件相连。</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附着式升降脚手架安装、拆卸、爬升作业的关键环节，作业前是否由总监签署作业令，专业技术人员、安全员是否在现场监督，地面坠落半径范围是否设置警戒。</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87" w:type="dxa"/>
            <w:vMerge w:val="restart"/>
            <w:noWrap w:val="0"/>
            <w:vAlign w:val="center"/>
          </w:tcPr>
          <w:p>
            <w:pPr>
              <w:jc w:val="center"/>
              <w:rPr>
                <w:rFonts w:ascii="宋体" w:hAnsi="宋体" w:cs="宋体"/>
                <w:szCs w:val="21"/>
              </w:rPr>
            </w:pPr>
            <w:r>
              <w:rPr>
                <w:rFonts w:hint="eastAsia" w:ascii="宋体" w:hAnsi="宋体" w:cs="宋体"/>
                <w:szCs w:val="21"/>
              </w:rPr>
              <w:t>5</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幕墙</w:t>
            </w:r>
          </w:p>
          <w:p>
            <w:pPr>
              <w:jc w:val="center"/>
              <w:rPr>
                <w:rFonts w:hint="eastAsia" w:ascii="宋体" w:hAnsi="宋体" w:cs="宋体"/>
                <w:szCs w:val="21"/>
              </w:rPr>
            </w:pPr>
            <w:r>
              <w:rPr>
                <w:rFonts w:hint="eastAsia" w:ascii="宋体" w:hAnsi="宋体" w:cs="宋体"/>
                <w:szCs w:val="21"/>
              </w:rPr>
              <w:t>工程</w:t>
            </w:r>
          </w:p>
        </w:tc>
        <w:tc>
          <w:tcPr>
            <w:tcW w:w="4832" w:type="dxa"/>
            <w:noWrap w:val="0"/>
            <w:vAlign w:val="center"/>
          </w:tcPr>
          <w:p>
            <w:pPr>
              <w:jc w:val="left"/>
              <w:rPr>
                <w:rFonts w:hint="eastAsia" w:ascii="宋体" w:hAnsi="宋体" w:cs="宋体"/>
                <w:szCs w:val="21"/>
              </w:rPr>
            </w:pPr>
            <w:r>
              <w:rPr>
                <w:rFonts w:hint="eastAsia" w:ascii="宋体" w:hAnsi="宋体" w:cs="宋体"/>
                <w:szCs w:val="21"/>
              </w:rPr>
              <w:t>吊篮安装单位是否具有相应安全生产许可证、安装人员是否具有特种操作证。（安装单位应当取得建设行政主管部门颁发的安全生产许可证，安装人员应该持省级以上建设行政主管部门颁发的吊篮装、拆特种操作证）。</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吊篮投入使用是否检测并验收合格。</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悬挂机构前支架是否违规支撑在女儿墙上或挑檐边缘，配重是否按规定设置并有防止移动的措施。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吊篮是否安装上限位装置，安全钢丝绳是否独立于工作钢丝绳设置，安全钢丝绳悬挂的重砣是否离地10-20厘米。（吊篮应安装上限位，安全钢丝绳应独立设置并悬挂重砣，重砣应离地）。</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吊篮中作业人员是否违规超过2人。</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吊篮作业人员是否将安全带用各自独立的安全锁扣挂置在专用安全绳上。</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环轨固定、安装是否与方案相符；炮车构造是否与方案相符，有无防移动（摆动）安全措施。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楼层中转平台搭设与方案是否相符，是否在平台违规堆载材料，是否违规使用叉车进入平台范围。</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楼层临边幕墙安装是否按规定设置安全钢丝绳，工人是否佩戴双钩安全带。</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left"/>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587" w:type="dxa"/>
            <w:vMerge w:val="restart"/>
            <w:noWrap w:val="0"/>
            <w:vAlign w:val="center"/>
          </w:tcPr>
          <w:p>
            <w:pPr>
              <w:jc w:val="center"/>
              <w:rPr>
                <w:rFonts w:hint="eastAsia" w:ascii="宋体" w:hAnsi="宋体" w:cs="宋体"/>
                <w:szCs w:val="21"/>
              </w:rPr>
            </w:pPr>
            <w:r>
              <w:rPr>
                <w:rFonts w:hint="eastAsia" w:ascii="宋体" w:hAnsi="宋体" w:cs="宋体"/>
                <w:szCs w:val="21"/>
              </w:rPr>
              <w:t>6</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安全</w:t>
            </w:r>
          </w:p>
          <w:p>
            <w:pPr>
              <w:jc w:val="center"/>
              <w:rPr>
                <w:rFonts w:hint="eastAsia" w:ascii="宋体" w:hAnsi="宋体" w:cs="宋体"/>
                <w:szCs w:val="21"/>
              </w:rPr>
            </w:pPr>
            <w:r>
              <w:rPr>
                <w:rFonts w:hint="eastAsia" w:ascii="宋体" w:hAnsi="宋体" w:cs="宋体"/>
                <w:szCs w:val="21"/>
              </w:rPr>
              <w:t>防护</w:t>
            </w:r>
          </w:p>
        </w:tc>
        <w:tc>
          <w:tcPr>
            <w:tcW w:w="4832" w:type="dxa"/>
            <w:noWrap w:val="0"/>
            <w:vAlign w:val="center"/>
          </w:tcPr>
          <w:p>
            <w:pPr>
              <w:jc w:val="left"/>
              <w:rPr>
                <w:rFonts w:hint="eastAsia" w:ascii="宋体" w:hAnsi="宋体" w:cs="宋体"/>
                <w:szCs w:val="21"/>
              </w:rPr>
            </w:pPr>
            <w:r>
              <w:rPr>
                <w:rFonts w:hint="eastAsia" w:ascii="宋体" w:hAnsi="宋体" w:cs="宋体"/>
                <w:szCs w:val="21"/>
              </w:rPr>
              <w:t>施工总承包单位是否对安全防护用品进行统一管理，是否向作业人员提供合格的安全帽、安全带。</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抽查3处以上洞口（楼梯口、电梯井口、预留洞口、通道口）是否采用标准化定型式防护，防护措施是否严密、固定、牢靠。</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临边（楼板边、楼梯段边、屋面边、阳台边、各类坑、沟、槽等边沿）是否采用标准化定型式防护，防护措施是否严密、固定、牢靠。临边处是否设置踢脚板。</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行人通道、钢筋加工场等处于上层作业坠落半径范围以内的是否搭设符合安全文明施工标准的安全通道或防护棚。</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外架临主干道或人行道部位是否设置防坠物措施。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钢结构安装时，是否预设生命线并在下层设置水平兜网防护。</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587" w:type="dxa"/>
            <w:vMerge w:val="restart"/>
            <w:noWrap w:val="0"/>
            <w:vAlign w:val="center"/>
          </w:tcPr>
          <w:p>
            <w:pPr>
              <w:jc w:val="center"/>
              <w:rPr>
                <w:rFonts w:hint="eastAsia" w:ascii="宋体" w:hAnsi="宋体" w:cs="宋体"/>
                <w:szCs w:val="21"/>
              </w:rPr>
            </w:pPr>
            <w:r>
              <w:rPr>
                <w:rFonts w:hint="eastAsia" w:ascii="宋体" w:hAnsi="宋体" w:cs="宋体"/>
                <w:szCs w:val="21"/>
              </w:rPr>
              <w:t>7</w:t>
            </w:r>
          </w:p>
        </w:tc>
        <w:tc>
          <w:tcPr>
            <w:tcW w:w="886" w:type="dxa"/>
            <w:vMerge w:val="restart"/>
            <w:noWrap w:val="0"/>
            <w:vAlign w:val="center"/>
          </w:tcPr>
          <w:p>
            <w:pPr>
              <w:jc w:val="center"/>
              <w:rPr>
                <w:rFonts w:hint="eastAsia" w:ascii="宋体" w:hAnsi="宋体" w:cs="宋体"/>
                <w:szCs w:val="21"/>
              </w:rPr>
            </w:pPr>
            <w:r>
              <w:rPr>
                <w:rFonts w:hint="eastAsia" w:ascii="宋体" w:hAnsi="宋体" w:cs="宋体"/>
                <w:szCs w:val="21"/>
              </w:rPr>
              <w:t>登高</w:t>
            </w:r>
          </w:p>
          <w:p>
            <w:pPr>
              <w:jc w:val="center"/>
              <w:rPr>
                <w:rFonts w:hint="eastAsia" w:ascii="宋体" w:hAnsi="宋体" w:cs="宋体"/>
                <w:szCs w:val="21"/>
              </w:rPr>
            </w:pPr>
            <w:r>
              <w:rPr>
                <w:rFonts w:hint="eastAsia" w:ascii="宋体" w:hAnsi="宋体" w:cs="宋体"/>
                <w:szCs w:val="21"/>
              </w:rPr>
              <w:t>作业</w:t>
            </w:r>
          </w:p>
        </w:tc>
        <w:tc>
          <w:tcPr>
            <w:tcW w:w="4832" w:type="dxa"/>
            <w:noWrap w:val="0"/>
            <w:vAlign w:val="center"/>
          </w:tcPr>
          <w:p>
            <w:pPr>
              <w:jc w:val="left"/>
              <w:rPr>
                <w:rFonts w:hint="eastAsia" w:ascii="宋体" w:hAnsi="宋体" w:cs="宋体"/>
                <w:szCs w:val="21"/>
              </w:rPr>
            </w:pPr>
            <w:r>
              <w:rPr>
                <w:rFonts w:hint="eastAsia" w:ascii="宋体" w:hAnsi="宋体" w:cs="宋体"/>
                <w:szCs w:val="21"/>
              </w:rPr>
              <w:t>高空升降车作业平台是否办理进场报审，操作人员是否持生产厂家出具的操作培训证。</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移动式升降工作平台是否办理进场报审，操作人员是否持生产厂家出具的操作培训证。</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是否违规使用自制人字梯、靠墙梯；马凳是否仅限于1米以下且不临边处使用。</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高处作业是否搭设作业平台，平台是否编制专项方案并验收合格；是否违规使用门式脚手架作为作业平台。</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卸料平台是否经验收后方投入使用，卸料平台现状是否与验收时一致，是否分吊运物料类别设定吊运数量限值，挂好限载牌和验收牌。</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高处作业是否有牢固可靠的安全带系挂点，无可靠挂点时是否设置生命线。安全带是否高挂低用。</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restart"/>
            <w:noWrap w:val="0"/>
            <w:vAlign w:val="center"/>
          </w:tcPr>
          <w:p>
            <w:pPr>
              <w:jc w:val="center"/>
              <w:rPr>
                <w:rFonts w:ascii="宋体" w:hAnsi="宋体" w:cs="宋体"/>
                <w:szCs w:val="21"/>
              </w:rPr>
            </w:pPr>
            <w:r>
              <w:rPr>
                <w:rFonts w:hint="eastAsia" w:ascii="宋体" w:hAnsi="宋体" w:cs="宋体"/>
                <w:szCs w:val="21"/>
              </w:rPr>
              <w:t>8</w:t>
            </w:r>
          </w:p>
        </w:tc>
        <w:tc>
          <w:tcPr>
            <w:tcW w:w="886" w:type="dxa"/>
            <w:vMerge w:val="restart"/>
            <w:noWrap w:val="0"/>
            <w:vAlign w:val="center"/>
          </w:tcPr>
          <w:p>
            <w:pPr>
              <w:jc w:val="center"/>
              <w:rPr>
                <w:rFonts w:ascii="宋体" w:hAnsi="宋体" w:cs="宋体"/>
                <w:szCs w:val="21"/>
              </w:rPr>
            </w:pPr>
            <w:r>
              <w:rPr>
                <w:rFonts w:hint="eastAsia" w:ascii="宋体" w:hAnsi="宋体" w:cs="宋体"/>
                <w:szCs w:val="21"/>
              </w:rPr>
              <w:t>临时用电及消防安全</w:t>
            </w:r>
          </w:p>
        </w:tc>
        <w:tc>
          <w:tcPr>
            <w:tcW w:w="4832" w:type="dxa"/>
            <w:noWrap w:val="0"/>
            <w:vAlign w:val="center"/>
          </w:tcPr>
          <w:p>
            <w:pPr>
              <w:jc w:val="left"/>
              <w:rPr>
                <w:rFonts w:hint="eastAsia" w:ascii="宋体" w:hAnsi="宋体" w:cs="宋体"/>
                <w:szCs w:val="21"/>
              </w:rPr>
            </w:pPr>
            <w:r>
              <w:rPr>
                <w:rFonts w:hint="eastAsia" w:ascii="宋体" w:hAnsi="宋体" w:cs="宋体"/>
                <w:szCs w:val="21"/>
              </w:rPr>
              <w:t>外电线路与在建工程及脚手架、起重机械、场内机动车道之间的安全距离是否符合规范要求或有有效的防护措施。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施工用电总箱及开关箱两级漏电保护是否灵敏可靠，施工机具是否满足“一机一闸一漏一箱”用电要求。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电线电缆敷设是否满足规范要求，保护零线是否进出齐全。</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用电机具的金属外壳是否与保护零线明显可靠连接，现场严禁使用交流电焊机。</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宿舍是否按要求使用USB充电，宿舍不得违规使用220V用电插座。</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施工现场的模板、油漆、防水涂料、氧气瓶、乙炔瓶等易燃、易爆物品的放置、使用、储存是否符合安全要求。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电动机具充电是否集中管理，集中充电点是否为开放式，并与作业区、宿舍保持安全距离。</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施工现场是否按规定要求配置消防设施（含消防水源），消防水泵是否一用一备，消火栓泵是否采用专用消防配电线路。</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587" w:type="dxa"/>
            <w:noWrap w:val="0"/>
            <w:vAlign w:val="center"/>
          </w:tcPr>
          <w:p>
            <w:pPr>
              <w:jc w:val="center"/>
              <w:rPr>
                <w:rFonts w:ascii="宋体" w:hAnsi="宋体" w:cs="宋体"/>
                <w:szCs w:val="21"/>
              </w:rPr>
            </w:pPr>
            <w:r>
              <w:rPr>
                <w:rFonts w:hint="eastAsia" w:ascii="宋体" w:hAnsi="宋体" w:cs="宋体"/>
                <w:szCs w:val="21"/>
              </w:rPr>
              <w:t>9</w:t>
            </w:r>
          </w:p>
        </w:tc>
        <w:tc>
          <w:tcPr>
            <w:tcW w:w="886" w:type="dxa"/>
            <w:noWrap w:val="0"/>
            <w:vAlign w:val="center"/>
          </w:tcPr>
          <w:p>
            <w:pPr>
              <w:jc w:val="center"/>
              <w:rPr>
                <w:rFonts w:hint="eastAsia" w:ascii="宋体" w:hAnsi="宋体" w:cs="宋体"/>
                <w:szCs w:val="21"/>
              </w:rPr>
            </w:pPr>
            <w:r>
              <w:rPr>
                <w:rFonts w:hint="eastAsia" w:ascii="宋体" w:hAnsi="宋体" w:cs="宋体"/>
                <w:szCs w:val="21"/>
              </w:rPr>
              <w:t>扬尘</w:t>
            </w:r>
          </w:p>
          <w:p>
            <w:pPr>
              <w:jc w:val="center"/>
              <w:rPr>
                <w:rFonts w:ascii="宋体" w:hAnsi="宋体" w:cs="宋体"/>
                <w:szCs w:val="21"/>
              </w:rPr>
            </w:pPr>
            <w:r>
              <w:rPr>
                <w:rFonts w:hint="eastAsia" w:ascii="宋体" w:hAnsi="宋体" w:cs="宋体"/>
                <w:szCs w:val="21"/>
              </w:rPr>
              <w:t>防治</w:t>
            </w:r>
          </w:p>
        </w:tc>
        <w:tc>
          <w:tcPr>
            <w:tcW w:w="4832" w:type="dxa"/>
            <w:noWrap w:val="0"/>
            <w:vAlign w:val="center"/>
          </w:tcPr>
          <w:p>
            <w:pPr>
              <w:jc w:val="left"/>
              <w:rPr>
                <w:rFonts w:ascii="宋体" w:hAnsi="宋体" w:cs="宋体"/>
                <w:szCs w:val="21"/>
              </w:rPr>
            </w:pPr>
            <w:r>
              <w:rPr>
                <w:rFonts w:hint="eastAsia" w:ascii="宋体" w:hAnsi="宋体" w:cs="宋体"/>
                <w:szCs w:val="21"/>
              </w:rPr>
              <w:t>是否满足扬尘防治“6个100%”要求。</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87" w:type="dxa"/>
            <w:vMerge w:val="restart"/>
            <w:noWrap w:val="0"/>
            <w:vAlign w:val="center"/>
          </w:tcPr>
          <w:p>
            <w:pPr>
              <w:jc w:val="center"/>
              <w:rPr>
                <w:rFonts w:ascii="宋体" w:hAnsi="宋体" w:cs="宋体"/>
                <w:szCs w:val="21"/>
              </w:rPr>
            </w:pPr>
            <w:r>
              <w:rPr>
                <w:rFonts w:hint="eastAsia" w:ascii="宋体" w:hAnsi="宋体" w:cs="宋体"/>
                <w:szCs w:val="21"/>
              </w:rPr>
              <w:t>10</w:t>
            </w:r>
          </w:p>
        </w:tc>
        <w:tc>
          <w:tcPr>
            <w:tcW w:w="886" w:type="dxa"/>
            <w:vMerge w:val="restart"/>
            <w:noWrap w:val="0"/>
            <w:vAlign w:val="center"/>
          </w:tcPr>
          <w:p>
            <w:pPr>
              <w:jc w:val="center"/>
              <w:rPr>
                <w:rFonts w:ascii="宋体" w:hAnsi="宋体" w:cs="宋体"/>
                <w:szCs w:val="21"/>
              </w:rPr>
            </w:pPr>
            <w:r>
              <w:rPr>
                <w:rFonts w:hint="eastAsia" w:ascii="宋体" w:hAnsi="宋体" w:cs="宋体"/>
                <w:szCs w:val="21"/>
              </w:rPr>
              <w:t>防汛防风措施</w:t>
            </w:r>
          </w:p>
        </w:tc>
        <w:tc>
          <w:tcPr>
            <w:tcW w:w="4832" w:type="dxa"/>
            <w:noWrap w:val="0"/>
            <w:vAlign w:val="center"/>
          </w:tcPr>
          <w:p>
            <w:pPr>
              <w:jc w:val="left"/>
              <w:rPr>
                <w:rFonts w:ascii="宋体" w:hAnsi="宋体" w:cs="宋体"/>
                <w:szCs w:val="21"/>
              </w:rPr>
            </w:pPr>
            <w:r>
              <w:rPr>
                <w:rFonts w:hint="eastAsia" w:ascii="宋体" w:hAnsi="宋体" w:cs="宋体"/>
                <w:szCs w:val="21"/>
              </w:rPr>
              <w:t>施工围挡：是否有倾斜变形、开裂等不稳定状况，是否按要求采取斜撑等加固措施。</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传统板房：是否按规定不超过2层，是否有加固措施，与地面连接的钢丝绳是否拉结拉紧。</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87" w:type="dxa"/>
            <w:vMerge w:val="continue"/>
            <w:noWrap w:val="0"/>
            <w:vAlign w:val="center"/>
          </w:tcPr>
          <w:p>
            <w:pPr>
              <w:jc w:val="center"/>
              <w:rPr>
                <w:rFonts w:hint="eastAsia" w:ascii="宋体" w:hAnsi="宋体" w:cs="宋体"/>
                <w:szCs w:val="21"/>
              </w:rPr>
            </w:pPr>
          </w:p>
        </w:tc>
        <w:tc>
          <w:tcPr>
            <w:tcW w:w="886" w:type="dxa"/>
            <w:vMerge w:val="continue"/>
            <w:noWrap w:val="0"/>
            <w:vAlign w:val="center"/>
          </w:tcPr>
          <w:p>
            <w:pPr>
              <w:jc w:val="center"/>
              <w:rPr>
                <w:rFonts w:hint="eastAsia" w:ascii="宋体" w:hAnsi="宋体" w:cs="宋体"/>
                <w:szCs w:val="21"/>
              </w:rPr>
            </w:pPr>
          </w:p>
        </w:tc>
        <w:tc>
          <w:tcPr>
            <w:tcW w:w="4832" w:type="dxa"/>
            <w:noWrap w:val="0"/>
            <w:vAlign w:val="center"/>
          </w:tcPr>
          <w:p>
            <w:pPr>
              <w:jc w:val="left"/>
              <w:rPr>
                <w:rFonts w:hint="eastAsia" w:ascii="宋体" w:hAnsi="宋体" w:cs="宋体"/>
                <w:szCs w:val="21"/>
              </w:rPr>
            </w:pPr>
            <w:r>
              <w:rPr>
                <w:rFonts w:hint="eastAsia" w:ascii="宋体" w:hAnsi="宋体" w:cs="宋体"/>
                <w:szCs w:val="21"/>
              </w:rPr>
              <w:t>箱式板房：是否在箱式板房四周制作不小于φ16预埋圆钢混凝土锚锭，是否使用不小于φ8钢丝绳及M14螺栓将箱式板房屋顶的吊耳与混凝土锚锭连接并张紧。</w:t>
            </w:r>
          </w:p>
        </w:tc>
        <w:tc>
          <w:tcPr>
            <w:tcW w:w="1400"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19" w:type="dxa"/>
            <w:noWrap w:val="0"/>
            <w:vAlign w:val="center"/>
          </w:tcPr>
          <w:p>
            <w:pPr>
              <w:jc w:val="center"/>
              <w:rPr>
                <w:rFonts w:hint="eastAsia" w:ascii="宋体" w:hAnsi="宋体" w:cs="宋体"/>
                <w:szCs w:val="21"/>
              </w:rPr>
            </w:pPr>
          </w:p>
        </w:tc>
      </w:tr>
    </w:tbl>
    <w:p>
      <w:pPr>
        <w:jc w:val="left"/>
        <w:rPr>
          <w:szCs w:val="21"/>
        </w:rPr>
      </w:pPr>
      <w:r>
        <w:rPr>
          <w:rFonts w:hint="eastAsia"/>
          <w:szCs w:val="21"/>
        </w:rPr>
        <w:t>检查人员：                                                    检查日期：</w:t>
      </w:r>
    </w:p>
    <w:p>
      <w:pPr>
        <w:jc w:val="left"/>
        <w:rPr>
          <w:rFonts w:hint="eastAsia"/>
          <w:szCs w:val="21"/>
          <w:lang w:val="zh-CN"/>
        </w:rPr>
        <w:sectPr>
          <w:pgSz w:w="11906" w:h="16838"/>
          <w:pgMar w:top="1440" w:right="1080" w:bottom="1440" w:left="1080" w:header="851" w:footer="992" w:gutter="0"/>
          <w:pgNumType w:fmt="numberInDash"/>
          <w:cols w:space="720" w:num="1"/>
          <w:titlePg/>
          <w:docGrid w:type="lines" w:linePitch="312" w:charSpace="0"/>
        </w:sectPr>
      </w:pPr>
    </w:p>
    <w:p>
      <w:pPr>
        <w:jc w:val="left"/>
        <w:rPr>
          <w:rFonts w:hint="eastAsia" w:ascii="仿宋_GB2312" w:hAnsi="仿宋_GB2312" w:eastAsia="仿宋_GB2312" w:cs="仿宋_GB2312"/>
          <w:sz w:val="30"/>
          <w:szCs w:val="30"/>
        </w:rPr>
      </w:pPr>
    </w:p>
    <w:p>
      <w:pPr>
        <w:jc w:val="center"/>
        <w:rPr>
          <w:rFonts w:hint="eastAsia"/>
          <w:b/>
          <w:bCs/>
          <w:sz w:val="32"/>
          <w:szCs w:val="32"/>
        </w:rPr>
      </w:pPr>
      <w:r>
        <w:rPr>
          <w:rFonts w:hint="eastAsia" w:ascii="宋体" w:hAnsi="宋体" w:cs="宋体"/>
          <w:b/>
          <w:bCs/>
          <w:sz w:val="32"/>
          <w:szCs w:val="32"/>
        </w:rPr>
        <w:t>建筑施工百日攻坚整治检查表（市政基础工程）</w:t>
      </w:r>
    </w:p>
    <w:p>
      <w:pPr>
        <w:spacing w:line="360" w:lineRule="auto"/>
        <w:jc w:val="left"/>
        <w:rPr>
          <w:rFonts w:ascii="宋体" w:hAnsi="宋体" w:cs="宋体"/>
          <w:b/>
          <w:bCs/>
          <w:szCs w:val="21"/>
        </w:rPr>
      </w:pPr>
      <w:r>
        <w:rPr>
          <w:rFonts w:hint="eastAsia" w:ascii="宋体" w:hAnsi="宋体" w:cs="宋体"/>
          <w:b/>
          <w:bCs/>
          <w:szCs w:val="21"/>
        </w:rPr>
        <w:t>工程名称：</w:t>
      </w:r>
      <w:r>
        <w:rPr>
          <w:rFonts w:hint="eastAsia" w:ascii="宋体" w:hAnsi="宋体" w:cs="宋体"/>
          <w:b/>
          <w:bCs/>
          <w:szCs w:val="21"/>
          <w:u w:val="single"/>
        </w:rPr>
        <w:t xml:space="preserve">                               </w:t>
      </w:r>
      <w:r>
        <w:rPr>
          <w:rFonts w:hint="eastAsia" w:ascii="宋体" w:hAnsi="宋体" w:cs="宋体"/>
          <w:b/>
          <w:bCs/>
          <w:szCs w:val="21"/>
        </w:rPr>
        <w:t>施工阶段：</w:t>
      </w:r>
      <w:r>
        <w:rPr>
          <w:rFonts w:hint="eastAsia" w:ascii="宋体" w:hAnsi="宋体" w:cs="宋体"/>
          <w:b/>
          <w:bCs/>
          <w:szCs w:val="21"/>
          <w:u w:val="single"/>
        </w:rPr>
        <w:t xml:space="preserve">            </w:t>
      </w:r>
      <w:r>
        <w:rPr>
          <w:rFonts w:hint="eastAsia" w:ascii="宋体" w:hAnsi="宋体" w:cs="宋体"/>
          <w:szCs w:val="21"/>
          <w:u w:val="single"/>
        </w:rPr>
        <w:t xml:space="preserve">                </w:t>
      </w:r>
    </w:p>
    <w:p>
      <w:pPr>
        <w:spacing w:line="360" w:lineRule="auto"/>
        <w:jc w:val="left"/>
        <w:rPr>
          <w:rFonts w:ascii="宋体" w:hAnsi="宋体" w:cs="宋体"/>
          <w:sz w:val="10"/>
          <w:szCs w:val="10"/>
        </w:rPr>
      </w:pPr>
      <w:r>
        <w:rPr>
          <w:rFonts w:hint="eastAsia" w:ascii="宋体" w:hAnsi="宋体" w:cs="宋体"/>
          <w:b/>
          <w:bCs/>
          <w:szCs w:val="21"/>
        </w:rPr>
        <w:t>施工单位：</w:t>
      </w:r>
      <w:r>
        <w:rPr>
          <w:rFonts w:hint="eastAsia" w:ascii="宋体" w:hAnsi="宋体" w:cs="宋体"/>
          <w:b/>
          <w:bCs/>
          <w:szCs w:val="21"/>
          <w:u w:val="single"/>
        </w:rPr>
        <w:t xml:space="preserve">                               </w:t>
      </w:r>
      <w:r>
        <w:rPr>
          <w:rFonts w:hint="eastAsia" w:ascii="宋体" w:hAnsi="宋体" w:cs="宋体"/>
          <w:b/>
          <w:bCs/>
          <w:szCs w:val="21"/>
        </w:rPr>
        <w:t>监理单位：</w:t>
      </w:r>
      <w:r>
        <w:rPr>
          <w:rFonts w:hint="eastAsia" w:ascii="宋体" w:hAnsi="宋体" w:cs="宋体"/>
          <w:b/>
          <w:bCs/>
          <w:szCs w:val="21"/>
          <w:u w:val="single"/>
        </w:rPr>
        <w:t xml:space="preserve">                            </w:t>
      </w:r>
      <w:r>
        <w:rPr>
          <w:rFonts w:hint="eastAsia" w:ascii="宋体" w:hAnsi="宋体" w:cs="宋体"/>
          <w:b/>
          <w:bCs/>
          <w:szCs w:val="21"/>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6"/>
        <w:gridCol w:w="5238"/>
        <w:gridCol w:w="1369"/>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480"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746" w:type="dxa"/>
            <w:vMerge w:val="restart"/>
            <w:noWrap w:val="0"/>
            <w:vAlign w:val="center"/>
          </w:tcPr>
          <w:p>
            <w:pPr>
              <w:jc w:val="center"/>
              <w:rPr>
                <w:rFonts w:hint="eastAsia" w:ascii="宋体" w:hAnsi="宋体" w:cs="宋体"/>
                <w:b/>
                <w:bCs/>
                <w:szCs w:val="21"/>
              </w:rPr>
            </w:pPr>
            <w:r>
              <w:rPr>
                <w:rFonts w:hint="eastAsia" w:ascii="宋体" w:hAnsi="宋体" w:cs="宋体"/>
                <w:b/>
                <w:bCs/>
                <w:szCs w:val="21"/>
              </w:rPr>
              <w:t>检查项目</w:t>
            </w:r>
          </w:p>
        </w:tc>
        <w:tc>
          <w:tcPr>
            <w:tcW w:w="5238" w:type="dxa"/>
            <w:vMerge w:val="restart"/>
            <w:noWrap w:val="0"/>
            <w:vAlign w:val="center"/>
          </w:tcPr>
          <w:p>
            <w:pPr>
              <w:jc w:val="center"/>
              <w:rPr>
                <w:rFonts w:ascii="宋体" w:hAnsi="宋体" w:cs="宋体"/>
                <w:b/>
                <w:bCs/>
                <w:szCs w:val="21"/>
              </w:rPr>
            </w:pPr>
            <w:r>
              <w:rPr>
                <w:rFonts w:hint="eastAsia" w:ascii="宋体" w:hAnsi="宋体" w:cs="宋体"/>
                <w:b/>
                <w:bCs/>
                <w:szCs w:val="21"/>
              </w:rPr>
              <w:t>检查内容</w:t>
            </w:r>
          </w:p>
        </w:tc>
        <w:tc>
          <w:tcPr>
            <w:tcW w:w="3805" w:type="dxa"/>
            <w:gridSpan w:val="2"/>
            <w:noWrap w:val="0"/>
            <w:vAlign w:val="center"/>
          </w:tcPr>
          <w:p>
            <w:pPr>
              <w:jc w:val="center"/>
              <w:rPr>
                <w:rFonts w:hint="eastAsia" w:ascii="宋体" w:hAnsi="宋体" w:cs="宋体"/>
                <w:b/>
                <w:bCs/>
                <w:szCs w:val="21"/>
              </w:rPr>
            </w:pPr>
            <w:r>
              <w:rPr>
                <w:rFonts w:hint="eastAsia" w:ascii="宋体" w:hAnsi="宋体" w:cs="宋体"/>
                <w:b/>
                <w:bCs/>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480" w:type="dxa"/>
            <w:vMerge w:val="continue"/>
            <w:noWrap w:val="0"/>
            <w:vAlign w:val="center"/>
          </w:tcPr>
          <w:p>
            <w:pPr>
              <w:jc w:val="center"/>
            </w:pPr>
          </w:p>
        </w:tc>
        <w:tc>
          <w:tcPr>
            <w:tcW w:w="746" w:type="dxa"/>
            <w:vMerge w:val="continue"/>
            <w:noWrap w:val="0"/>
            <w:vAlign w:val="center"/>
          </w:tcPr>
          <w:p>
            <w:pPr>
              <w:jc w:val="center"/>
            </w:pPr>
          </w:p>
        </w:tc>
        <w:tc>
          <w:tcPr>
            <w:tcW w:w="5238" w:type="dxa"/>
            <w:vMerge w:val="continue"/>
            <w:noWrap w:val="0"/>
            <w:vAlign w:val="center"/>
          </w:tcPr>
          <w:p>
            <w:pPr>
              <w:jc w:val="center"/>
            </w:pPr>
          </w:p>
        </w:tc>
        <w:tc>
          <w:tcPr>
            <w:tcW w:w="1369" w:type="dxa"/>
            <w:noWrap w:val="0"/>
            <w:vAlign w:val="center"/>
          </w:tcPr>
          <w:p>
            <w:pPr>
              <w:jc w:val="center"/>
              <w:rPr>
                <w:rFonts w:hint="eastAsia" w:ascii="宋体" w:hAnsi="宋体" w:cs="宋体"/>
                <w:b/>
                <w:bCs/>
                <w:szCs w:val="21"/>
              </w:rPr>
            </w:pPr>
            <w:r>
              <w:rPr>
                <w:rFonts w:hint="eastAsia" w:ascii="宋体" w:hAnsi="宋体" w:cs="宋体"/>
                <w:b/>
                <w:bCs/>
                <w:szCs w:val="21"/>
              </w:rPr>
              <w:t>结论</w:t>
            </w:r>
          </w:p>
        </w:tc>
        <w:tc>
          <w:tcPr>
            <w:tcW w:w="2436" w:type="dxa"/>
            <w:noWrap w:val="0"/>
            <w:vAlign w:val="center"/>
          </w:tcPr>
          <w:p>
            <w:pPr>
              <w:jc w:val="center"/>
              <w:rPr>
                <w:rFonts w:hint="eastAsia" w:ascii="宋体" w:hAnsi="宋体" w:cs="宋体"/>
                <w:b/>
                <w:bCs/>
                <w:szCs w:val="21"/>
              </w:rPr>
            </w:pPr>
            <w:r>
              <w:rPr>
                <w:rFonts w:hint="eastAsia" w:ascii="宋体" w:hAnsi="宋体" w:cs="宋体"/>
                <w:b/>
                <w:bCs/>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1</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基坑及高边坡</w:t>
            </w:r>
          </w:p>
        </w:tc>
        <w:tc>
          <w:tcPr>
            <w:tcW w:w="5238" w:type="dxa"/>
            <w:noWrap w:val="0"/>
            <w:vAlign w:val="center"/>
          </w:tcPr>
          <w:p>
            <w:pPr>
              <w:jc w:val="left"/>
              <w:rPr>
                <w:rFonts w:hint="eastAsia" w:ascii="宋体" w:hAnsi="宋体" w:cs="宋体"/>
                <w:szCs w:val="21"/>
              </w:rPr>
            </w:pPr>
            <w:r>
              <w:rPr>
                <w:rFonts w:hint="eastAsia" w:ascii="宋体" w:hAnsi="宋体" w:cs="宋体"/>
                <w:szCs w:val="21"/>
              </w:rPr>
              <w:t>现场支护结构实体与设计图纸及设计变更是否相符。</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基坑开挖前是否组织基坑开挖条件验收,现场是否满足基坑开挖条件(检查周边截排水措施、周边硬地化、临边防护、第三方监测布点、锚索检测情况、支撑梁强度等)。</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土方开挖是否按方案进行分层分段开挖，分层开挖深度与坡度是否与方案一致,是否存在超挖；开挖前锚索、土钉是否及时张拉检测,内支撑支撑梁砼强度是否达到要求。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坑（坡）顶是否超载，支撑梁上是否违规堆载，基坑1倍深度范围内是否设置住人板房、是否违规设置办公用房（未经设计单位计算复核）。</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基坑侧壁是否有渗漏水情况，基坑排水是否通畅,坡脚是否泡水。</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施工、监理单位是否定期巡查并记录；支护结构是否有明显变形开裂，周边建构筑物、道路及管线、地面等是否有明显沉降开裂。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基坑开挖到底后，进入下道工序施工前，是否组织基坑安全评估；超过设计使用年限的基坑是否组织专家评估论证。</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textAlignment w:val="baseline"/>
              <w:rPr>
                <w:rFonts w:hint="eastAsia" w:ascii="宋体" w:hAnsi="宋体" w:cs="宋体"/>
                <w:szCs w:val="21"/>
              </w:rPr>
            </w:pPr>
            <w:r>
              <w:rPr>
                <w:rStyle w:val="15"/>
                <w:rFonts w:hint="eastAsia" w:ascii="宋体" w:hAnsi="宋体" w:cs="宋体"/>
                <w:szCs w:val="21"/>
              </w:rPr>
              <w:t>2</w:t>
            </w:r>
          </w:p>
        </w:tc>
        <w:tc>
          <w:tcPr>
            <w:tcW w:w="746" w:type="dxa"/>
            <w:vMerge w:val="restart"/>
            <w:noWrap w:val="0"/>
            <w:vAlign w:val="center"/>
          </w:tcPr>
          <w:p>
            <w:pPr>
              <w:jc w:val="center"/>
              <w:textAlignment w:val="baseline"/>
              <w:rPr>
                <w:rFonts w:hint="eastAsia" w:ascii="宋体" w:hAnsi="宋体" w:cs="宋体"/>
                <w:szCs w:val="21"/>
              </w:rPr>
            </w:pPr>
            <w:r>
              <w:rPr>
                <w:rStyle w:val="15"/>
                <w:rFonts w:hint="eastAsia" w:ascii="宋体" w:hAnsi="宋体" w:cs="宋体"/>
                <w:szCs w:val="21"/>
              </w:rPr>
              <w:t>暗挖隧道</w:t>
            </w:r>
          </w:p>
        </w:tc>
        <w:tc>
          <w:tcPr>
            <w:tcW w:w="5238" w:type="dxa"/>
            <w:noWrap w:val="0"/>
            <w:vAlign w:val="center"/>
          </w:tcPr>
          <w:p>
            <w:pPr>
              <w:textAlignment w:val="baseline"/>
              <w:rPr>
                <w:rStyle w:val="15"/>
                <w:rFonts w:hint="eastAsia" w:ascii="宋体" w:hAnsi="宋体" w:cs="宋体"/>
                <w:szCs w:val="21"/>
              </w:rPr>
            </w:pPr>
            <w:r>
              <w:rPr>
                <w:rFonts w:hint="eastAsia" w:ascii="宋体" w:hAnsi="宋体" w:cs="宋体"/>
                <w:szCs w:val="21"/>
              </w:rPr>
              <w:t>暗挖隧道是否按设计要求及规范进行超前支护、加固或保护地下管线等工程周边环境，超前支护或加固效果是否满足开挖安全要求。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矿山法隧道开挖工法、循环进尺、台阶长度等是否符合设计及方案要求。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暗挖隧道是否采取有效通风措施，是否进行有害气体检测并做记录。</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矿山法隧道是否按要求进行开挖面地质描述和地质超前预报。</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textAlignment w:val="baseline"/>
              <w:rPr>
                <w:rStyle w:val="15"/>
                <w:rFonts w:hint="eastAsia" w:ascii="宋体" w:hAnsi="宋体" w:cs="宋体"/>
                <w:szCs w:val="21"/>
              </w:rPr>
            </w:pPr>
            <w:r>
              <w:rPr>
                <w:rFonts w:hint="eastAsia" w:ascii="宋体" w:hAnsi="宋体" w:cs="宋体"/>
                <w:szCs w:val="21"/>
              </w:rPr>
              <w:t>盾构掘进参数异常、姿态异常、地面沉降超限，是否采取有效纠正措施。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textAlignment w:val="baseline"/>
              <w:rPr>
                <w:rStyle w:val="15"/>
                <w:rFonts w:hint="eastAsia" w:ascii="宋体" w:hAnsi="宋体" w:cs="宋体"/>
                <w:szCs w:val="21"/>
              </w:rPr>
            </w:pPr>
            <w:r>
              <w:rPr>
                <w:rStyle w:val="15"/>
                <w:rFonts w:hint="eastAsia" w:ascii="宋体" w:hAnsi="宋体" w:cs="宋体"/>
                <w:szCs w:val="21"/>
              </w:rPr>
              <w:t>开仓作业是否进行条件验收和开仓审批。</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textAlignment w:val="baseline"/>
              <w:rPr>
                <w:rFonts w:hint="eastAsia" w:ascii="宋体" w:hAnsi="宋体" w:cs="宋体"/>
                <w:szCs w:val="21"/>
              </w:rPr>
            </w:pPr>
            <w:r>
              <w:rPr>
                <w:rFonts w:hint="eastAsia" w:ascii="宋体" w:hAnsi="宋体" w:cs="宋体"/>
                <w:szCs w:val="21"/>
              </w:rPr>
              <w:t>3</w:t>
            </w:r>
          </w:p>
        </w:tc>
        <w:tc>
          <w:tcPr>
            <w:tcW w:w="746" w:type="dxa"/>
            <w:vMerge w:val="restart"/>
            <w:noWrap w:val="0"/>
            <w:vAlign w:val="center"/>
          </w:tcPr>
          <w:p>
            <w:pPr>
              <w:jc w:val="center"/>
              <w:textAlignment w:val="baseline"/>
              <w:rPr>
                <w:rFonts w:hint="eastAsia" w:ascii="宋体" w:hAnsi="宋体" w:cs="宋体"/>
                <w:szCs w:val="21"/>
              </w:rPr>
            </w:pPr>
            <w:r>
              <w:rPr>
                <w:rFonts w:hint="eastAsia" w:ascii="宋体" w:hAnsi="宋体" w:cs="宋体"/>
                <w:szCs w:val="21"/>
              </w:rPr>
              <w:t>模板支架</w:t>
            </w: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支撑体系搭设是否与方案一致（基础承载力、杆件质量、立杆间距、水平杆步距、抱柱措施、水平及竖向剪刀撑的连贯性及间距、自由端及顶托伸出长度等）。</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高度超过3.6m的架体是否在第一步架挂设水平兜网，是否向上每隔约5.4m设施一道水平兜网，是否违规使用安全网代替水平兜网。</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textAlignment w:val="baseline"/>
              <w:rPr>
                <w:rFonts w:hint="eastAsia" w:ascii="宋体" w:hAnsi="宋体" w:cs="宋体"/>
                <w:szCs w:val="21"/>
              </w:rPr>
            </w:pPr>
          </w:p>
        </w:tc>
        <w:tc>
          <w:tcPr>
            <w:tcW w:w="746" w:type="dxa"/>
            <w:vMerge w:val="continue"/>
            <w:noWrap w:val="0"/>
            <w:vAlign w:val="center"/>
          </w:tcPr>
          <w:p>
            <w:pPr>
              <w:jc w:val="center"/>
              <w:textAlignment w:val="baseline"/>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是否违规提前拆模，是否违规拆除水平杆、扫地杆，拆除工作是否与拆除试块报告、拆除方案一致，模板支架拆除时，是否设置警戒区并专人监护。</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4</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脚手架</w:t>
            </w: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架体搭设是否与施工方案一致（基层承载力、杆件质量、立杆间距、剪刀撑连续性及连墙杆设置等）。</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悬挑层是否进行全硬封闭，常规部位与转角部位的长度比例、悬挑工字钢悬挑与固定端的比例是否满足要求，立杆底部与悬挑钢梁连接处是否采取可靠固定措施。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外脚手架与建筑物之间是否每隔10米设置硬质防护，其余每层均设水平兜网防护。</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脚手架拆除作业是否自上而下逐层进行，分段拆除不应大于两步架（连墙杆是否随架体逐层拆除），拆除时是否设置警戒区并派专人监护。</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5</w:t>
            </w:r>
          </w:p>
          <w:p>
            <w:pPr>
              <w:jc w:val="center"/>
              <w:rPr>
                <w:rFonts w:hint="eastAsia" w:ascii="宋体" w:hAnsi="宋体" w:cs="宋体"/>
                <w:szCs w:val="21"/>
              </w:rPr>
            </w:pPr>
          </w:p>
          <w:p>
            <w:pPr>
              <w:jc w:val="center"/>
              <w:rPr>
                <w:rFonts w:hint="eastAsia" w:ascii="宋体" w:hAnsi="宋体" w:cs="宋体"/>
                <w:szCs w:val="21"/>
              </w:rPr>
            </w:pP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建筑起重机械</w:t>
            </w:r>
          </w:p>
        </w:tc>
        <w:tc>
          <w:tcPr>
            <w:tcW w:w="5238" w:type="dxa"/>
            <w:noWrap w:val="0"/>
            <w:vAlign w:val="center"/>
          </w:tcPr>
          <w:p>
            <w:pPr>
              <w:rPr>
                <w:rFonts w:hint="eastAsia" w:ascii="宋体" w:hAnsi="宋体" w:cs="宋体"/>
                <w:szCs w:val="21"/>
              </w:rPr>
            </w:pPr>
            <w:r>
              <w:rPr>
                <w:rFonts w:hint="eastAsia" w:ascii="宋体" w:hAnsi="宋体" w:cs="宋体"/>
                <w:szCs w:val="21"/>
              </w:rPr>
              <w:t>塔吊吊装是否存在违反“十不吊”安全规定的行为。（重点检查有无长短混吊、散料是否用料斗）。</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有《塔机使用补充说明书》（深圳版）的塔吊，是否按照补充说明书要求采取相应防台风措施。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无《塔机使用补充说明书》（深圳版）的塔吊，是否在允许安装最大独立高度或最大悬臂高度基础上一律降低两个标准节使用。</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门（桥）式起重机起升高度限位器、大车行走限位器是否失效（现场任意抽查一台设备装置有效性）。</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门式起重机轨道两侧是否设置行程限位、缓冲器和端部止挡。</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门式起重机轨道上是否有影响安全运行的障碍物。</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textAlignment w:val="baseline"/>
              <w:rPr>
                <w:rFonts w:hint="eastAsia" w:ascii="宋体" w:hAnsi="宋体" w:cs="宋体"/>
                <w:szCs w:val="21"/>
              </w:rPr>
            </w:pPr>
            <w:r>
              <w:rPr>
                <w:rStyle w:val="15"/>
                <w:rFonts w:hint="eastAsia" w:ascii="宋体" w:hAnsi="宋体" w:cs="宋体"/>
                <w:szCs w:val="21"/>
              </w:rPr>
              <w:t>同一轨道上有两台门（桥）式起重机的是否设置防碰撞装置。</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textAlignment w:val="baseline"/>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textAlignment w:val="baseline"/>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6</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施工机具</w:t>
            </w: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流动式起重机械“一机一档”资料是否齐全，是否按规定年检（首次检测可不要求必须本市检测），是否进行联合验收。</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流动式起重机械吊臂作业范围内是否有障碍物或其它设施、吊装作业时是否配置信号司索工、起重吊装作业是否设置明显的安全警示标志。</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桩机、流动式起重机械等高耸机械行经路线及落位处是否进行硬地化，流动式起重机械作业时支腿是否按规定伸展及支撑。</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Style w:val="15"/>
                <w:rFonts w:hint="eastAsia" w:ascii="宋体" w:hAnsi="宋体" w:cs="宋体"/>
                <w:szCs w:val="21"/>
              </w:rPr>
            </w:pPr>
            <w:r>
              <w:rPr>
                <w:rFonts w:hint="eastAsia" w:ascii="宋体" w:hAnsi="宋体" w:cs="宋体"/>
                <w:szCs w:val="21"/>
              </w:rPr>
              <w:t>钢筋滚笼机滚筒附近是否安装防止人员靠近自动红外监测断电报警装置。</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绳锯是否加装限载装置及防护罩，绳锯外径尺寸是否小于9mm。</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7</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安全防护</w:t>
            </w:r>
          </w:p>
        </w:tc>
        <w:tc>
          <w:tcPr>
            <w:tcW w:w="5238" w:type="dxa"/>
            <w:noWrap w:val="0"/>
            <w:vAlign w:val="center"/>
          </w:tcPr>
          <w:p>
            <w:pPr>
              <w:jc w:val="left"/>
              <w:rPr>
                <w:rFonts w:hint="eastAsia" w:ascii="宋体" w:hAnsi="宋体" w:cs="宋体"/>
                <w:szCs w:val="21"/>
              </w:rPr>
            </w:pPr>
            <w:r>
              <w:rPr>
                <w:rFonts w:hint="eastAsia" w:ascii="宋体" w:hAnsi="宋体" w:cs="宋体"/>
                <w:szCs w:val="21"/>
              </w:rPr>
              <w:t>临边洞口是否采用标准化定型式防护，防护措施是否严密、牢靠。（泥浆池、三级沉淀池、桩孔口、地连墙成槽口、</w:t>
            </w:r>
            <w:r>
              <w:rPr>
                <w:rFonts w:hint="eastAsia" w:ascii="宋体" w:hAnsi="宋体" w:cs="宋体"/>
                <w:szCs w:val="21"/>
                <w:shd w:val="clear" w:color="auto" w:fill="FFFFFF"/>
              </w:rPr>
              <w:t>预留洞口、基坑临边、楼面临边、模板临边、支撑梁通道等</w:t>
            </w:r>
            <w:r>
              <w:rPr>
                <w:rFonts w:hint="eastAsia" w:ascii="宋体" w:hAnsi="宋体" w:cs="宋体"/>
                <w:szCs w:val="21"/>
              </w:rPr>
              <w:t>）。</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rPr>
                <w:rFonts w:hint="eastAsia" w:ascii="宋体" w:hAnsi="宋体" w:cs="宋体"/>
                <w:szCs w:val="21"/>
              </w:rPr>
            </w:pPr>
            <w:r>
              <w:rPr>
                <w:rFonts w:hint="eastAsia" w:ascii="宋体" w:hAnsi="宋体" w:cs="宋体"/>
                <w:szCs w:val="21"/>
              </w:rPr>
              <w:t>行人通道、钢筋加工场等处于上层作业坠落半径范围以内的是否搭设符合安全文明施工标准的安全通道或防护棚。</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外架临主干道或人行道部位是否设置防坠物措施。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施工总承包单位是否对安全防护用品进行统一管理，是否向作业人员提供合格的安全帽、安全带。</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8</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登高</w:t>
            </w:r>
          </w:p>
          <w:p>
            <w:pPr>
              <w:jc w:val="center"/>
              <w:rPr>
                <w:rFonts w:hint="eastAsia" w:ascii="宋体" w:hAnsi="宋体" w:cs="宋体"/>
                <w:szCs w:val="21"/>
              </w:rPr>
            </w:pPr>
            <w:r>
              <w:rPr>
                <w:rFonts w:hint="eastAsia" w:ascii="宋体" w:hAnsi="宋体" w:cs="宋体"/>
                <w:szCs w:val="21"/>
              </w:rPr>
              <w:t>作业</w:t>
            </w:r>
          </w:p>
        </w:tc>
        <w:tc>
          <w:tcPr>
            <w:tcW w:w="5238" w:type="dxa"/>
            <w:noWrap w:val="0"/>
            <w:vAlign w:val="center"/>
          </w:tcPr>
          <w:p>
            <w:pPr>
              <w:jc w:val="left"/>
              <w:rPr>
                <w:rFonts w:hint="eastAsia" w:ascii="宋体" w:hAnsi="宋体" w:cs="宋体"/>
                <w:szCs w:val="21"/>
              </w:rPr>
            </w:pPr>
            <w:r>
              <w:rPr>
                <w:rFonts w:hint="eastAsia" w:ascii="宋体" w:hAnsi="宋体" w:cs="宋体"/>
                <w:szCs w:val="21"/>
              </w:rPr>
              <w:t>高空升降车作业平台、移动式升降工作平台是否办理进场报审，操作人员是否持生产厂家出具的操作培训证。</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高处作业是否搭设作业平台，平台是否编制专项方案并验收合格；是否违规使用门式脚手架作为作业平台。</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高处作业是否有牢固可靠的安全带系挂点，无可靠挂点时是否设置生命线。安全带是否高挂低用。</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9</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临时用电及消防安全</w:t>
            </w:r>
          </w:p>
        </w:tc>
        <w:tc>
          <w:tcPr>
            <w:tcW w:w="5238" w:type="dxa"/>
            <w:noWrap w:val="0"/>
            <w:vAlign w:val="center"/>
          </w:tcPr>
          <w:p>
            <w:pPr>
              <w:jc w:val="left"/>
              <w:rPr>
                <w:rFonts w:hint="eastAsia" w:ascii="宋体" w:hAnsi="宋体" w:cs="宋体"/>
                <w:szCs w:val="21"/>
              </w:rPr>
            </w:pPr>
            <w:r>
              <w:rPr>
                <w:rFonts w:hint="eastAsia" w:ascii="宋体" w:hAnsi="宋体" w:cs="宋体"/>
                <w:szCs w:val="21"/>
              </w:rPr>
              <w:t>外电线路与在建工程及脚手架、起重机械、场内机动车道之间的安全距离是否符合规范要求或有有效的防护措施。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施工用电总箱及开关箱两级漏电保护是否灵敏可靠，施工机具是否满足“一机一闸一漏一箱”用电要求。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电线电缆敷设是否满足规范要求，保护零线是否进出齐全。</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用电机具的金属外壳是否与保护零线明显可靠连接，现场严禁使用交流电焊机。</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宿舍是否按要求使用USB充电，宿舍不得违规使用220V用电插座。</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施工现场的模板、油漆、防水涂料、氧气瓶、乙炔瓶等易燃、易爆物品的放置、使用、储存是否符合安全要求。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电动机具充电是否集中管理，集中充电点是否为开放式，并与作业区、宿舍保持安全距离。</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施工现场是否按规定要求配置消防设施（含消防水源），消防水泵是否一用一备，消火栓泵是否采用专用消防配电线路。</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80" w:type="dxa"/>
            <w:noWrap w:val="0"/>
            <w:vAlign w:val="center"/>
          </w:tcPr>
          <w:p>
            <w:pPr>
              <w:jc w:val="center"/>
              <w:rPr>
                <w:rFonts w:hint="eastAsia" w:ascii="宋体" w:hAnsi="宋体" w:cs="宋体"/>
                <w:szCs w:val="21"/>
              </w:rPr>
            </w:pPr>
            <w:r>
              <w:rPr>
                <w:rFonts w:hint="eastAsia" w:ascii="宋体" w:hAnsi="宋体" w:cs="宋体"/>
                <w:szCs w:val="21"/>
              </w:rPr>
              <w:t>10</w:t>
            </w:r>
          </w:p>
        </w:tc>
        <w:tc>
          <w:tcPr>
            <w:tcW w:w="746" w:type="dxa"/>
            <w:noWrap w:val="0"/>
            <w:vAlign w:val="center"/>
          </w:tcPr>
          <w:p>
            <w:pPr>
              <w:jc w:val="center"/>
              <w:rPr>
                <w:rFonts w:hint="eastAsia" w:ascii="宋体" w:hAnsi="宋体" w:cs="宋体"/>
                <w:szCs w:val="21"/>
              </w:rPr>
            </w:pPr>
            <w:r>
              <w:rPr>
                <w:rFonts w:hint="eastAsia" w:ascii="宋体" w:hAnsi="宋体" w:cs="宋体"/>
                <w:szCs w:val="21"/>
              </w:rPr>
              <w:t>扬尘防治</w:t>
            </w:r>
          </w:p>
        </w:tc>
        <w:tc>
          <w:tcPr>
            <w:tcW w:w="5238" w:type="dxa"/>
            <w:noWrap w:val="0"/>
            <w:vAlign w:val="center"/>
          </w:tcPr>
          <w:p>
            <w:pPr>
              <w:jc w:val="left"/>
              <w:rPr>
                <w:rFonts w:hint="eastAsia" w:ascii="宋体" w:hAnsi="宋体" w:cs="宋体"/>
                <w:szCs w:val="21"/>
              </w:rPr>
            </w:pPr>
            <w:r>
              <w:rPr>
                <w:rFonts w:hint="eastAsia" w:ascii="宋体" w:hAnsi="宋体" w:cs="宋体"/>
                <w:szCs w:val="21"/>
              </w:rPr>
              <w:t>是否满足扬尘防治“6个100%”要求。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11</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防汛防风措施</w:t>
            </w:r>
          </w:p>
        </w:tc>
        <w:tc>
          <w:tcPr>
            <w:tcW w:w="5238" w:type="dxa"/>
            <w:noWrap w:val="0"/>
            <w:vAlign w:val="center"/>
          </w:tcPr>
          <w:p>
            <w:pPr>
              <w:jc w:val="left"/>
              <w:rPr>
                <w:rFonts w:hint="eastAsia" w:ascii="宋体" w:hAnsi="宋体" w:cs="宋体"/>
                <w:szCs w:val="21"/>
              </w:rPr>
            </w:pPr>
            <w:r>
              <w:rPr>
                <w:rFonts w:hint="eastAsia" w:ascii="宋体" w:hAnsi="宋体" w:cs="宋体"/>
                <w:szCs w:val="21"/>
              </w:rPr>
              <w:t>施工围挡：是否有倾斜变形、开裂等不稳定状况，是否按要求采取斜撑等加固措施。</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传统板房：是否按规定不超过2层，是否有加固措施，与地面连接的钢丝绳是否拉结拉紧。</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箱式板房：是否在箱式板房四周制作不小于φ16预埋圆钢混凝土锚锭，是否使用不小于φ8钢丝绳及M14螺栓将箱式板房屋顶的吊耳与混凝土锚锭连接并张紧。</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80" w:type="dxa"/>
            <w:vMerge w:val="restart"/>
            <w:noWrap w:val="0"/>
            <w:vAlign w:val="center"/>
          </w:tcPr>
          <w:p>
            <w:pPr>
              <w:jc w:val="center"/>
              <w:rPr>
                <w:rFonts w:hint="eastAsia" w:ascii="宋体" w:hAnsi="宋体" w:cs="宋体"/>
                <w:szCs w:val="21"/>
              </w:rPr>
            </w:pPr>
            <w:r>
              <w:rPr>
                <w:rFonts w:hint="eastAsia" w:ascii="宋体" w:hAnsi="宋体" w:cs="宋体"/>
                <w:szCs w:val="21"/>
              </w:rPr>
              <w:t>12</w:t>
            </w:r>
          </w:p>
        </w:tc>
        <w:tc>
          <w:tcPr>
            <w:tcW w:w="746" w:type="dxa"/>
            <w:vMerge w:val="restart"/>
            <w:noWrap w:val="0"/>
            <w:vAlign w:val="center"/>
          </w:tcPr>
          <w:p>
            <w:pPr>
              <w:jc w:val="center"/>
              <w:rPr>
                <w:rFonts w:hint="eastAsia" w:ascii="宋体" w:hAnsi="宋体" w:cs="宋体"/>
                <w:szCs w:val="21"/>
              </w:rPr>
            </w:pPr>
            <w:r>
              <w:rPr>
                <w:rFonts w:hint="eastAsia" w:ascii="宋体" w:hAnsi="宋体" w:cs="宋体"/>
                <w:szCs w:val="21"/>
              </w:rPr>
              <w:t>建筑废弃物管理</w:t>
            </w:r>
          </w:p>
        </w:tc>
        <w:tc>
          <w:tcPr>
            <w:tcW w:w="5238" w:type="dxa"/>
            <w:noWrap w:val="0"/>
            <w:vAlign w:val="center"/>
          </w:tcPr>
          <w:p>
            <w:pPr>
              <w:jc w:val="left"/>
              <w:rPr>
                <w:rFonts w:hint="eastAsia" w:ascii="宋体" w:hAnsi="宋体" w:cs="宋体"/>
                <w:szCs w:val="21"/>
              </w:rPr>
            </w:pPr>
            <w:r>
              <w:rPr>
                <w:rFonts w:hint="eastAsia" w:ascii="宋体" w:hAnsi="宋体" w:cs="宋体"/>
                <w:szCs w:val="21"/>
              </w:rPr>
              <w:t>工地出入口、冲洗设施、视频监控是否满足要求。</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泥头车是否带泥上路、盖板是否封闭、是否使用不符合要求泥头车。</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80" w:type="dxa"/>
            <w:vMerge w:val="continue"/>
            <w:noWrap w:val="0"/>
            <w:vAlign w:val="center"/>
          </w:tcPr>
          <w:p>
            <w:pPr>
              <w:jc w:val="center"/>
              <w:rPr>
                <w:rFonts w:hint="eastAsia" w:ascii="宋体" w:hAnsi="宋体" w:cs="宋体"/>
                <w:szCs w:val="21"/>
              </w:rPr>
            </w:pPr>
          </w:p>
        </w:tc>
        <w:tc>
          <w:tcPr>
            <w:tcW w:w="746" w:type="dxa"/>
            <w:vMerge w:val="continue"/>
            <w:noWrap w:val="0"/>
            <w:vAlign w:val="center"/>
          </w:tcPr>
          <w:p>
            <w:pPr>
              <w:jc w:val="center"/>
              <w:rPr>
                <w:rFonts w:hint="eastAsia" w:ascii="宋体" w:hAnsi="宋体" w:cs="宋体"/>
                <w:szCs w:val="21"/>
              </w:rPr>
            </w:pPr>
          </w:p>
        </w:tc>
        <w:tc>
          <w:tcPr>
            <w:tcW w:w="5238" w:type="dxa"/>
            <w:noWrap w:val="0"/>
            <w:vAlign w:val="center"/>
          </w:tcPr>
          <w:p>
            <w:pPr>
              <w:jc w:val="left"/>
              <w:rPr>
                <w:rFonts w:hint="eastAsia" w:ascii="宋体" w:hAnsi="宋体" w:cs="宋体"/>
                <w:szCs w:val="21"/>
              </w:rPr>
            </w:pPr>
            <w:r>
              <w:rPr>
                <w:rFonts w:hint="eastAsia" w:ascii="宋体" w:hAnsi="宋体" w:cs="宋体"/>
                <w:szCs w:val="21"/>
              </w:rPr>
              <w:t>电子联单签认率是否低于90%，未申报率是否高于30%。</w:t>
            </w:r>
          </w:p>
        </w:tc>
        <w:tc>
          <w:tcPr>
            <w:tcW w:w="1369" w:type="dxa"/>
            <w:noWrap w:val="0"/>
            <w:vAlign w:val="center"/>
          </w:tcPr>
          <w:p>
            <w:pPr>
              <w:adjustRightInd w:val="0"/>
              <w:snapToGrid w:val="0"/>
              <w:jc w:val="left"/>
              <w:rPr>
                <w:rFonts w:hint="eastAsia" w:ascii="宋体" w:hAnsi="宋体" w:cs="宋体"/>
                <w:szCs w:val="21"/>
              </w:rPr>
            </w:pPr>
            <w:r>
              <w:rPr>
                <w:rFonts w:hint="eastAsia" w:ascii="宋体" w:hAnsi="宋体" w:cs="宋体"/>
                <w:szCs w:val="21"/>
              </w:rPr>
              <w:t>□符合</w:t>
            </w:r>
          </w:p>
          <w:p>
            <w:pPr>
              <w:jc w:val="center"/>
              <w:rPr>
                <w:rFonts w:hint="eastAsia" w:ascii="宋体" w:hAnsi="宋体" w:cs="宋体"/>
                <w:szCs w:val="21"/>
              </w:rPr>
            </w:pPr>
            <w:r>
              <w:rPr>
                <w:rFonts w:hint="eastAsia" w:ascii="宋体" w:hAnsi="宋体" w:cs="宋体"/>
                <w:szCs w:val="21"/>
              </w:rPr>
              <w:t>□存在问题</w:t>
            </w:r>
          </w:p>
        </w:tc>
        <w:tc>
          <w:tcPr>
            <w:tcW w:w="2436" w:type="dxa"/>
            <w:noWrap w:val="0"/>
            <w:vAlign w:val="center"/>
          </w:tcPr>
          <w:p>
            <w:pPr>
              <w:jc w:val="center"/>
              <w:rPr>
                <w:rFonts w:hint="eastAsia" w:ascii="宋体" w:hAnsi="宋体" w:cs="宋体"/>
                <w:szCs w:val="21"/>
              </w:rPr>
            </w:pPr>
          </w:p>
        </w:tc>
      </w:tr>
    </w:tbl>
    <w:p>
      <w:pPr>
        <w:rPr>
          <w:rFonts w:hint="eastAsia"/>
        </w:rPr>
      </w:pPr>
    </w:p>
    <w:sectPr>
      <w:footerReference r:id="rId9" w:type="first"/>
      <w:headerReference r:id="rId7" w:type="default"/>
      <w:footerReference r:id="rId8" w:type="default"/>
      <w:pgSz w:w="11906" w:h="16838"/>
      <w:pgMar w:top="2041" w:right="1531" w:bottom="1871" w:left="1588" w:header="851" w:footer="1417" w:gutter="0"/>
      <w:pgNumType w:fmt="numberInDash"/>
      <w:cols w:space="72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3230" cy="217170"/>
              <wp:effectExtent l="0" t="0" r="0" b="0"/>
              <wp:wrapNone/>
              <wp:docPr id="4" name="文本框 5"/>
              <wp:cNvGraphicFramePr/>
              <a:graphic xmlns:a="http://schemas.openxmlformats.org/drawingml/2006/main">
                <a:graphicData uri="http://schemas.microsoft.com/office/word/2010/wordprocessingShape">
                  <wps:wsp>
                    <wps:cNvSpPr txBox="1"/>
                    <wps:spPr>
                      <a:xfrm>
                        <a:off x="0" y="0"/>
                        <a:ext cx="443230" cy="217170"/>
                      </a:xfrm>
                      <a:prstGeom prst="rect">
                        <a:avLst/>
                      </a:prstGeom>
                      <a:noFill/>
                      <a:ln>
                        <a:noFill/>
                      </a:ln>
                    </wps:spPr>
                    <wps:txbx>
                      <w:txbxContent>
                        <w:p>
                          <w:pPr>
                            <w:snapToGrid w:val="0"/>
                            <w:rPr>
                              <w:rFonts w:hint="eastAsia" w:ascii="宋体" w:hAnsi="宋体" w:eastAsia="宋体" w:cs="宋体"/>
                              <w:sz w:val="28"/>
                              <w:szCs w:val="44"/>
                              <w:lang w:eastAsia="zh-CN"/>
                            </w:rPr>
                          </w:pP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36"/>
                              <w:szCs w:val="44"/>
                            </w:rPr>
                            <w:t>- 2 -</w:t>
                          </w:r>
                          <w:r>
                            <w:rPr>
                              <w:rFonts w:hint="eastAsia" w:ascii="宋体" w:hAnsi="宋体" w:cs="宋体"/>
                              <w:sz w:val="28"/>
                              <w:szCs w:val="44"/>
                              <w:lang w:eastAsia="zh-CN"/>
                            </w:rPr>
                            <w:fldChar w:fldCharType="end"/>
                          </w:r>
                        </w:p>
                      </w:txbxContent>
                    </wps:txbx>
                    <wps:bodyPr vert="horz" wrap="square" lIns="0" tIns="0" rIns="0" bIns="0" upright="0"/>
                  </wps:wsp>
                </a:graphicData>
              </a:graphic>
            </wp:anchor>
          </w:drawing>
        </mc:Choice>
        <mc:Fallback>
          <w:pict>
            <v:shape id="文本框 5" o:spid="_x0000_s1026" o:spt="202" type="#_x0000_t202" style="position:absolute;left:0pt;margin-top:0pt;height:17.1pt;width:34.9pt;mso-position-horizontal:outside;mso-position-horizontal-relative:margin;z-index:251661312;mso-width-relative:page;mso-height-relative:page;" filled="f" stroked="f" coordsize="21600,21600" o:gfxdata="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9TrCjUAAAAAwEAAA8AAAAAAAAAAQAgAAAAIgAAAGRycy9k&#10;b3ducmV2LnhtbFBLAQIUABQAAAAIAIdO4kBSmf6SzQEAAIsDAAAOAAAAAAAAAAEAIAAAACMBAABk&#10;cnMvZTJvRG9jLnhtbFBLBQYAAAAABgAGAFkBAABiBQAAAAA=&#10;">
              <v:fill on="f" focussize="0,0"/>
              <v:stroke on="f"/>
              <v:imagedata o:title=""/>
              <o:lock v:ext="edit" aspectratio="f"/>
              <v:textbox inset="0mm,0mm,0mm,0mm">
                <w:txbxContent>
                  <w:p>
                    <w:pPr>
                      <w:snapToGrid w:val="0"/>
                      <w:rPr>
                        <w:rFonts w:hint="eastAsia" w:ascii="宋体" w:hAnsi="宋体" w:eastAsia="宋体" w:cs="宋体"/>
                        <w:sz w:val="28"/>
                        <w:szCs w:val="44"/>
                        <w:lang w:eastAsia="zh-CN"/>
                      </w:rPr>
                    </w:pP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36"/>
                        <w:szCs w:val="44"/>
                      </w:rPr>
                      <w:t>- 2 -</w:t>
                    </w:r>
                    <w:r>
                      <w:rPr>
                        <w:rFonts w:hint="eastAsia" w:ascii="宋体" w:hAnsi="宋体" w:cs="宋体"/>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XlAFb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5080</wp:posOffset>
              </wp:positionV>
              <wp:extent cx="831850" cy="23050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831850" cy="230505"/>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- 26 -</w:t>
                          </w:r>
                          <w:r>
                            <w:rPr>
                              <w:rFonts w:hint="eastAsia"/>
                              <w:sz w:val="28"/>
                              <w:szCs w:val="28"/>
                              <w:lang w:eastAsia="zh-CN"/>
                            </w:rPr>
                            <w:fldChar w:fldCharType="end"/>
                          </w:r>
                        </w:p>
                      </w:txbxContent>
                    </wps:txbx>
                    <wps:bodyPr wrap="square" lIns="0" tIns="0" rIns="0" bIns="0" upright="0"/>
                  </wps:wsp>
                </a:graphicData>
              </a:graphic>
            </wp:anchor>
          </w:drawing>
        </mc:Choice>
        <mc:Fallback>
          <w:pict>
            <v:shape id="文本框 30" o:spid="_x0000_s1026" o:spt="202" type="#_x0000_t202" style="position:absolute;left:0pt;margin-top:0.4pt;height:18.15pt;width:65.5pt;mso-position-horizontal:outside;mso-position-horizontal-relative:margin;z-index:251659264;mso-width-relative:page;mso-height-relative:page;" filled="f" stroked="f" coordsize="21600,21600" o:gfxdata="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ovTz9IAAAAEAQAADwAAAAAAAAABACAAAAAiAAAAZHJzL2Rvd25yZXYueG1sUEsB&#10;AhQAFAAAAAgAh07iQKQajxXCAQAAgAMAAA4AAAAAAAAAAQAgAAAAIQEAAGRycy9lMm9Eb2MueG1s&#10;UEsFBgAAAAAGAAYAWQEAAFUFAAAAAA==&#10;">
              <v:fill on="f" focussize="0,0"/>
              <v:stroke on="f"/>
              <v:imagedata o:title=""/>
              <o:lock v:ext="edit" aspectratio="f"/>
              <v:textbox inset="0mm,0mm,0mm,0mm">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- 26 -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420" w:leftChars="200" w:right="420" w:rightChars="20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ind w:left="420" w:leftChars="200" w:right="420" w:rightChars="20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- 25 -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2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BZWFS"/>
    <w:link w:val="12"/>
    <w:uiPriority w:val="0"/>
    <w:pPr>
      <w:widowControl w:val="0"/>
      <w:spacing w:line="560" w:lineRule="exact"/>
      <w:ind w:firstLine="880" w:firstLineChars="200"/>
      <w:jc w:val="both"/>
    </w:pPr>
    <w:rPr>
      <w:rFonts w:ascii="仿宋_GB2312" w:hAnsi="仿宋_GB2312" w:eastAsia="仿宋_GB2312" w:cs="Times New Roman"/>
      <w:sz w:val="32"/>
      <w:szCs w:val="32"/>
      <w:lang w:bidi="ar-SA"/>
    </w:rPr>
  </w:style>
  <w:style w:type="paragraph" w:customStyle="1" w:styleId="7">
    <w:name w:val="BT00"/>
    <w:uiPriority w:val="0"/>
    <w:pPr>
      <w:widowControl w:val="0"/>
      <w:jc w:val="center"/>
      <w:outlineLvl w:val="0"/>
    </w:pPr>
    <w:rPr>
      <w:rFonts w:ascii="宋体" w:hAnsi="宋体" w:eastAsia="宋体" w:cs="Times New Roman"/>
      <w:b/>
      <w:sz w:val="44"/>
      <w:szCs w:val="44"/>
      <w:lang w:val="en-US" w:eastAsia="zh-CN" w:bidi="ar-SA"/>
    </w:rPr>
  </w:style>
  <w:style w:type="paragraph" w:customStyle="1" w:styleId="8">
    <w:name w:val="仿宋三号"/>
    <w:qFormat/>
    <w:uiPriority w:val="0"/>
    <w:pPr>
      <w:widowControl w:val="0"/>
      <w:spacing w:line="560" w:lineRule="exact"/>
      <w:ind w:firstLine="640" w:firstLineChars="200"/>
      <w:jc w:val="both"/>
    </w:pPr>
    <w:rPr>
      <w:rFonts w:ascii="Times New Roman" w:hAnsi="Times New Roman" w:eastAsia="仿宋_GB2312" w:cs="Times New Roman"/>
      <w:sz w:val="32"/>
      <w:lang w:val="en-US" w:eastAsia="zh-CN" w:bidi="ar-SA"/>
    </w:rPr>
  </w:style>
  <w:style w:type="paragraph" w:customStyle="1" w:styleId="9">
    <w:name w:val="BT01"/>
    <w:next w:val="6"/>
    <w:uiPriority w:val="0"/>
    <w:pPr>
      <w:widowControl w:val="0"/>
      <w:spacing w:line="560" w:lineRule="exact"/>
      <w:ind w:firstLine="880" w:firstLineChars="200"/>
      <w:jc w:val="both"/>
      <w:outlineLvl w:val="0"/>
    </w:pPr>
    <w:rPr>
      <w:rFonts w:ascii="黑体" w:hAnsi="黑体" w:eastAsia="黑体" w:cs="Times New Roman"/>
      <w:sz w:val="32"/>
      <w:szCs w:val="32"/>
      <w:lang w:val="en-US" w:eastAsia="zh-CN" w:bidi="ar-SA"/>
    </w:rPr>
  </w:style>
  <w:style w:type="paragraph" w:customStyle="1" w:styleId="10">
    <w:name w:val="BT02"/>
    <w:next w:val="6"/>
    <w:link w:val="13"/>
    <w:uiPriority w:val="0"/>
    <w:pPr>
      <w:widowControl w:val="0"/>
      <w:spacing w:line="560" w:lineRule="exact"/>
      <w:ind w:firstLine="880" w:firstLineChars="200"/>
      <w:jc w:val="both"/>
      <w:outlineLvl w:val="1"/>
    </w:pPr>
    <w:rPr>
      <w:rFonts w:ascii="楷体_GB2312" w:hAnsi="楷体_GB2312" w:eastAsia="楷体_GB2312" w:cs="Times New Roman"/>
      <w:b/>
      <w:sz w:val="32"/>
      <w:szCs w:val="32"/>
      <w:lang w:val="en-US" w:eastAsia="zh-CN" w:bidi="ar-SA"/>
    </w:rPr>
  </w:style>
  <w:style w:type="character" w:customStyle="1" w:styleId="11">
    <w:name w:val="BZWFS Char1"/>
    <w:qFormat/>
    <w:uiPriority w:val="0"/>
    <w:rPr>
      <w:rFonts w:ascii="仿宋_GB2312" w:hAnsi="仿宋_GB2312" w:eastAsia="仿宋_GB2312" w:cs="Times New Roman"/>
      <w:sz w:val="32"/>
      <w:szCs w:val="32"/>
    </w:rPr>
  </w:style>
  <w:style w:type="character" w:customStyle="1" w:styleId="12">
    <w:name w:val="BZWFS Char"/>
    <w:link w:val="6"/>
    <w:uiPriority w:val="0"/>
    <w:rPr>
      <w:rFonts w:ascii="仿宋_GB2312" w:hAnsi="仿宋_GB2312" w:eastAsia="仿宋_GB2312" w:cs="Times New Roman"/>
      <w:sz w:val="32"/>
      <w:szCs w:val="32"/>
      <w:lang w:bidi="ar-SA"/>
    </w:rPr>
  </w:style>
  <w:style w:type="character" w:customStyle="1" w:styleId="13">
    <w:name w:val="BT02 Char"/>
    <w:link w:val="10"/>
    <w:uiPriority w:val="0"/>
    <w:rPr>
      <w:rFonts w:ascii="楷体_GB2312" w:hAnsi="楷体_GB2312" w:eastAsia="楷体_GB2312" w:cs="Times New Roman"/>
      <w:b/>
      <w:sz w:val="32"/>
      <w:szCs w:val="32"/>
      <w:lang w:val="en-US" w:eastAsia="zh-CN" w:bidi="ar-SA"/>
    </w:rPr>
  </w:style>
  <w:style w:type="paragraph" w:customStyle="1" w:styleId="14">
    <w:name w:val="Basiclf"/>
    <w:uiPriority w:val="0"/>
    <w:pPr>
      <w:widowControl w:val="0"/>
      <w:spacing w:line="560" w:lineRule="exact"/>
      <w:jc w:val="both"/>
    </w:pPr>
    <w:rPr>
      <w:rFonts w:ascii="仿宋_GB2312" w:hAnsi="仿宋_GB2312" w:eastAsia="仿宋_GB2312" w:cs="Times New Roman"/>
      <w:sz w:val="32"/>
      <w:szCs w:val="32"/>
      <w:lang w:val="en-US" w:eastAsia="zh-CN" w:bidi="ar-SA"/>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张亮</dc:creator>
  <cp:lastModifiedBy>张莹</cp:lastModifiedBy>
  <dcterms:modified xsi:type="dcterms:W3CDTF">2021-09-17T09:01:04Z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9F48A62BAF6D4B028D075662816C26BD</vt:lpwstr>
  </property>
</Properties>
</file>