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深圳市儿童青少年近视防控措施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一、加强近视防控宣传教育，普及近视防控核心知识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加强近视防控健康教育，各年级每学年开设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节相关内容健康教育课，养成学生良好的用眼卫生习惯和爱眼护眼意识。学校通过家长会、家长学校、家校平台等向家长普及核心知识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家校配合防控学生近视。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了解近视发生主要受环境因素影响，如教育时间长、户外活动时间少，以及电子产品使用不当，读写姿势不正确，采光照明不足</w:t>
      </w:r>
      <w:r>
        <w:rPr>
          <w:rFonts w:ascii="仿宋_GB2312" w:eastAsia="仿宋_GB2312" w:cs="仿宋_GB2312"/>
          <w:sz w:val="32"/>
          <w:szCs w:val="32"/>
        </w:rPr>
        <w:t>,</w:t>
      </w:r>
      <w:r>
        <w:rPr>
          <w:rFonts w:hint="eastAsia" w:ascii="仿宋_GB2312" w:eastAsia="仿宋_GB2312" w:cs="仿宋_GB2312"/>
          <w:sz w:val="32"/>
          <w:szCs w:val="32"/>
        </w:rPr>
        <w:t>营养不均衡等。因此，综合施策才能取得成效。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了解近视危害的严重性，增强近视防控的紧迫感。中小学生近视高发、低龄化、重度化趋势明显。高度近视可引发白内障、青光眼、视网膜脱落、黄斑变性等严重并发症，已经成为致盲的首要原因。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二、减少视近作业时间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4. </w:t>
      </w:r>
      <w:r>
        <w:rPr>
          <w:rFonts w:hint="eastAsia" w:ascii="仿宋_GB2312" w:eastAsia="仿宋_GB2312" w:cs="仿宋_GB2312"/>
          <w:sz w:val="32"/>
          <w:szCs w:val="32"/>
        </w:rPr>
        <w:t>严格依据国家课程方案和课程标准组织安排教学活动，按照“零起点”正常教学。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．小学一二年级每学期学校可组织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次统一考试，其他年级每学期不超过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次统一考试。不得在小学组织选拔性或与升学挂钩的统一考试。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hint="eastAsia" w:ascii="仿宋_GB2312" w:eastAsia="仿宋_GB2312" w:cs="仿宋_GB2312"/>
          <w:sz w:val="32"/>
          <w:szCs w:val="32"/>
        </w:rPr>
        <w:t>按照《中小学生一日学习时间卫生要求》（</w:t>
      </w:r>
      <w:r>
        <w:rPr>
          <w:rFonts w:ascii="仿宋_GB2312" w:eastAsia="仿宋_GB2312" w:cs="仿宋_GB2312"/>
          <w:sz w:val="32"/>
          <w:szCs w:val="32"/>
        </w:rPr>
        <w:t>GB/T17223-2012</w:t>
      </w:r>
      <w:r>
        <w:rPr>
          <w:rFonts w:hint="eastAsia" w:ascii="仿宋_GB2312" w:eastAsia="仿宋_GB2312" w:cs="仿宋_GB2312"/>
          <w:sz w:val="32"/>
          <w:szCs w:val="32"/>
        </w:rPr>
        <w:t>），安排一日学习时间，以及课时、家庭作业、睡眠、课间休息等时间。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三、增加户外活动时间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>
        <w:rPr>
          <w:rFonts w:hint="eastAsia" w:ascii="仿宋_GB2312" w:eastAsia="仿宋_GB2312" w:cs="仿宋_GB2312"/>
          <w:sz w:val="32"/>
          <w:szCs w:val="32"/>
        </w:rPr>
        <w:t>增加体育与健康课课时。小学每周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课时，初中每周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课时，高中每周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课时。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8.</w:t>
      </w:r>
      <w:r>
        <w:rPr>
          <w:rFonts w:hint="eastAsia" w:ascii="仿宋_GB2312" w:eastAsia="仿宋_GB2312" w:cs="仿宋_GB2312"/>
          <w:sz w:val="32"/>
          <w:szCs w:val="32"/>
        </w:rPr>
        <w:t>学生在校期间，每天户外时间累积两小时以上。利用一切机会和方式增加学生户外活动时间，如将羽毛球场地、乒乓球台等设置在户外。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9. </w:t>
      </w:r>
      <w:r>
        <w:rPr>
          <w:rFonts w:hint="eastAsia" w:ascii="仿宋_GB2312" w:eastAsia="仿宋_GB2312" w:cs="仿宋_GB2312"/>
          <w:sz w:val="32"/>
          <w:szCs w:val="32"/>
        </w:rPr>
        <w:t>尝试户外课堂。以不影响正常教育教学为前提，选择适合的课程和气候条件，将课堂移至户外（操场、附近公园等）。如班会、美术、自然与社会、思品、心理等课程。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10.</w:t>
      </w:r>
      <w:r>
        <w:rPr>
          <w:rFonts w:hint="eastAsia" w:ascii="仿宋_GB2312" w:eastAsia="仿宋_GB2312" w:cs="仿宋_GB2312"/>
          <w:sz w:val="32"/>
          <w:szCs w:val="32"/>
        </w:rPr>
        <w:t>提倡步行上下学。学校和家长探索结伴步行上学小组，划定路线以及家长接送点。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11.</w:t>
      </w:r>
      <w:r>
        <w:rPr>
          <w:rFonts w:hint="eastAsia" w:ascii="仿宋_GB2312" w:eastAsia="仿宋_GB2312" w:cs="仿宋_GB2312"/>
          <w:sz w:val="32"/>
          <w:szCs w:val="32"/>
        </w:rPr>
        <w:t>放学回家后家长、学生协商调整活动顺序，日落前先安排户外类活动，后安排室内作业时间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12.</w:t>
      </w:r>
      <w:r>
        <w:rPr>
          <w:rFonts w:hint="eastAsia" w:ascii="仿宋_GB2312" w:eastAsia="仿宋_GB2312" w:cs="仿宋_GB2312"/>
          <w:sz w:val="32"/>
          <w:szCs w:val="32"/>
        </w:rPr>
        <w:t>节假日、寒暑假家长尽量让孩子到户外阳光下度过更多时间，结合学校布置的体育作业，每天不少于两小时。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四、控制电子产品使用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13.</w:t>
      </w:r>
      <w:r>
        <w:rPr>
          <w:rFonts w:hint="eastAsia" w:ascii="仿宋_GB2312" w:eastAsia="仿宋_GB2312" w:cs="仿宋_GB2312"/>
          <w:sz w:val="32"/>
          <w:szCs w:val="32"/>
        </w:rPr>
        <w:t>学校使用电子产品开展教学时长不超过教学总时长的</w:t>
      </w:r>
      <w:r>
        <w:rPr>
          <w:rFonts w:ascii="仿宋_GB2312" w:eastAsia="仿宋_GB2312" w:cs="仿宋_GB2312"/>
          <w:sz w:val="32"/>
          <w:szCs w:val="32"/>
        </w:rPr>
        <w:t>30%</w:t>
      </w:r>
      <w:r>
        <w:rPr>
          <w:rFonts w:hint="eastAsia" w:ascii="仿宋_GB2312" w:eastAsia="仿宋_GB2312" w:cs="仿宋_GB2312"/>
          <w:sz w:val="32"/>
          <w:szCs w:val="32"/>
        </w:rPr>
        <w:t>，原则上采用纸质作业。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14.</w:t>
      </w:r>
      <w:r>
        <w:rPr>
          <w:rFonts w:hint="eastAsia" w:ascii="仿宋_GB2312" w:eastAsia="仿宋_GB2312" w:cs="仿宋_GB2312"/>
          <w:sz w:val="32"/>
          <w:szCs w:val="32"/>
        </w:rPr>
        <w:t>严禁学生将个人智能手机带入课堂，带入学校的要进行统一保管。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15.</w:t>
      </w:r>
      <w:r>
        <w:rPr>
          <w:rFonts w:hint="eastAsia" w:ascii="仿宋_GB2312" w:eastAsia="仿宋_GB2312" w:cs="仿宋_GB2312"/>
          <w:sz w:val="32"/>
          <w:szCs w:val="32"/>
        </w:rPr>
        <w:t>学生每天在家电子产品使用单次不宜超过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分钟，每天累计不宜超过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小时，使用电子产品学习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ascii="仿宋_GB2312" w:eastAsia="仿宋_GB2312" w:cs="仿宋_GB2312"/>
          <w:sz w:val="32"/>
          <w:szCs w:val="32"/>
        </w:rPr>
        <w:t>40</w:t>
      </w:r>
      <w:r>
        <w:rPr>
          <w:rFonts w:hint="eastAsia" w:ascii="仿宋_GB2312" w:eastAsia="仿宋_GB2312" w:cs="仿宋_GB2312"/>
          <w:sz w:val="32"/>
          <w:szCs w:val="32"/>
        </w:rPr>
        <w:t>分钟后，应休息远眺放松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分钟。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五、改善视觉环境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16.</w:t>
      </w:r>
      <w:r>
        <w:rPr>
          <w:rFonts w:hint="eastAsia" w:ascii="仿宋_GB2312" w:eastAsia="仿宋_GB2312" w:cs="仿宋_GB2312"/>
          <w:sz w:val="32"/>
          <w:szCs w:val="32"/>
        </w:rPr>
        <w:t>教室照明卫生标准达标率</w:t>
      </w:r>
      <w:r>
        <w:rPr>
          <w:rFonts w:ascii="仿宋_GB2312" w:eastAsia="仿宋_GB2312" w:cs="仿宋_GB2312"/>
          <w:sz w:val="32"/>
          <w:szCs w:val="32"/>
        </w:rPr>
        <w:t>100%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教室黑板面维持平均照度不低于</w:t>
      </w:r>
      <w:r>
        <w:rPr>
          <w:rFonts w:ascii="仿宋_GB2312" w:eastAsia="仿宋_GB2312" w:cs="仿宋_GB2312"/>
          <w:sz w:val="32"/>
          <w:szCs w:val="32"/>
        </w:rPr>
        <w:t>500</w:t>
      </w:r>
      <w:r>
        <w:rPr>
          <w:rFonts w:hint="eastAsia" w:ascii="仿宋_GB2312" w:eastAsia="仿宋_GB2312" w:cs="仿宋_GB2312"/>
          <w:sz w:val="32"/>
          <w:szCs w:val="32"/>
        </w:rPr>
        <w:t>L</w:t>
      </w:r>
      <w:r>
        <w:rPr>
          <w:rFonts w:ascii="仿宋_GB2312" w:eastAsia="仿宋_GB2312" w:cs="仿宋_GB2312"/>
          <w:sz w:val="32"/>
          <w:szCs w:val="32"/>
        </w:rPr>
        <w:t>x</w:t>
      </w:r>
      <w:r>
        <w:rPr>
          <w:rFonts w:hint="eastAsia" w:ascii="仿宋_GB2312" w:eastAsia="仿宋_GB2312" w:cs="仿宋_GB2312"/>
          <w:sz w:val="32"/>
          <w:szCs w:val="32"/>
        </w:rPr>
        <w:t>，照度均匀度不低于</w:t>
      </w:r>
      <w:r>
        <w:rPr>
          <w:rFonts w:ascii="仿宋_GB2312" w:eastAsia="仿宋_GB2312" w:cs="仿宋_GB2312"/>
          <w:sz w:val="32"/>
          <w:szCs w:val="32"/>
        </w:rPr>
        <w:t>0.8</w:t>
      </w:r>
      <w:r>
        <w:rPr>
          <w:rFonts w:hint="eastAsia" w:ascii="仿宋_GB2312" w:eastAsia="仿宋_GB2312" w:cs="仿宋_GB2312"/>
          <w:sz w:val="32"/>
          <w:szCs w:val="32"/>
        </w:rPr>
        <w:t>。课桌面维持平均照度不低于</w:t>
      </w:r>
      <w:r>
        <w:rPr>
          <w:rFonts w:ascii="仿宋_GB2312" w:eastAsia="仿宋_GB2312" w:cs="仿宋_GB2312"/>
          <w:sz w:val="32"/>
          <w:szCs w:val="32"/>
        </w:rPr>
        <w:t>300</w:t>
      </w:r>
      <w:r>
        <w:rPr>
          <w:rFonts w:hint="eastAsia" w:ascii="仿宋_GB2312" w:eastAsia="仿宋_GB2312" w:cs="仿宋_GB2312"/>
          <w:sz w:val="32"/>
          <w:szCs w:val="32"/>
        </w:rPr>
        <w:t>L</w:t>
      </w:r>
      <w:r>
        <w:rPr>
          <w:rFonts w:ascii="仿宋_GB2312" w:eastAsia="仿宋_GB2312" w:cs="仿宋_GB2312"/>
          <w:sz w:val="32"/>
          <w:szCs w:val="32"/>
        </w:rPr>
        <w:t>x</w:t>
      </w:r>
      <w:r>
        <w:rPr>
          <w:rFonts w:hint="eastAsia" w:ascii="仿宋_GB2312" w:eastAsia="仿宋_GB2312" w:cs="仿宋_GB2312"/>
          <w:sz w:val="32"/>
          <w:szCs w:val="32"/>
        </w:rPr>
        <w:t>，照度均匀度不低于</w:t>
      </w:r>
      <w:r>
        <w:rPr>
          <w:rFonts w:ascii="仿宋_GB2312" w:eastAsia="仿宋_GB2312" w:cs="仿宋_GB2312"/>
          <w:sz w:val="32"/>
          <w:szCs w:val="32"/>
        </w:rPr>
        <w:t>0.7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17.</w:t>
      </w:r>
      <w:r>
        <w:rPr>
          <w:rFonts w:hint="eastAsia" w:ascii="仿宋_GB2312" w:eastAsia="仿宋_GB2312" w:cs="仿宋_GB2312"/>
          <w:sz w:val="32"/>
          <w:szCs w:val="32"/>
        </w:rPr>
        <w:t>教室配备合格照明设备。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教室应采用小于</w:t>
      </w:r>
      <w:r>
        <w:rPr>
          <w:rFonts w:ascii="仿宋_GB2312" w:eastAsia="仿宋_GB2312" w:cs="仿宋_GB2312"/>
          <w:sz w:val="32"/>
          <w:szCs w:val="32"/>
        </w:rPr>
        <w:t>26mm</w:t>
      </w:r>
      <w:r>
        <w:rPr>
          <w:rFonts w:hint="eastAsia" w:ascii="仿宋_GB2312" w:eastAsia="仿宋_GB2312" w:cs="仿宋_GB2312"/>
          <w:sz w:val="32"/>
          <w:szCs w:val="32"/>
        </w:rPr>
        <w:t>细管径直管形稀土三基色荧光灯，光源色温</w:t>
      </w:r>
      <w:r>
        <w:rPr>
          <w:rFonts w:ascii="仿宋_GB2312" w:eastAsia="仿宋_GB2312" w:cs="仿宋_GB2312"/>
          <w:sz w:val="32"/>
          <w:szCs w:val="32"/>
        </w:rPr>
        <w:t>3300 K-5300 K</w:t>
      </w:r>
      <w:r>
        <w:rPr>
          <w:rFonts w:hint="eastAsia" w:ascii="仿宋_GB2312" w:eastAsia="仿宋_GB2312" w:cs="仿宋_GB2312"/>
          <w:sz w:val="32"/>
          <w:szCs w:val="32"/>
        </w:rPr>
        <w:t>，光源显色指数不小于</w:t>
      </w:r>
      <w:r>
        <w:rPr>
          <w:rFonts w:ascii="仿宋_GB2312" w:eastAsia="仿宋_GB2312" w:cs="仿宋_GB2312"/>
          <w:sz w:val="32"/>
          <w:szCs w:val="32"/>
        </w:rPr>
        <w:t>80</w:t>
      </w:r>
      <w:r>
        <w:rPr>
          <w:rFonts w:hint="eastAsia" w:ascii="仿宋_GB2312" w:eastAsia="仿宋_GB2312" w:cs="仿宋_GB2312"/>
          <w:sz w:val="32"/>
          <w:szCs w:val="32"/>
        </w:rPr>
        <w:t>。采用</w:t>
      </w:r>
      <w:r>
        <w:rPr>
          <w:rFonts w:ascii="仿宋_GB2312" w:eastAsia="仿宋_GB2312" w:cs="仿宋_GB2312"/>
          <w:sz w:val="32"/>
          <w:szCs w:val="32"/>
        </w:rPr>
        <w:t>LED</w:t>
      </w:r>
      <w:r>
        <w:rPr>
          <w:rFonts w:hint="eastAsia" w:ascii="仿宋_GB2312" w:eastAsia="仿宋_GB2312" w:cs="仿宋_GB2312"/>
          <w:sz w:val="32"/>
          <w:szCs w:val="32"/>
        </w:rPr>
        <w:t>灯的，光源色温</w:t>
      </w:r>
      <w:r>
        <w:rPr>
          <w:rFonts w:ascii="仿宋_GB2312" w:eastAsia="仿宋_GB2312" w:cs="仿宋_GB2312"/>
          <w:sz w:val="32"/>
          <w:szCs w:val="32"/>
        </w:rPr>
        <w:t>3300 K-4000 K</w:t>
      </w:r>
      <w:r>
        <w:rPr>
          <w:rFonts w:hint="eastAsia" w:ascii="仿宋_GB2312" w:eastAsia="仿宋_GB2312" w:cs="仿宋_GB2312"/>
          <w:sz w:val="32"/>
          <w:szCs w:val="32"/>
        </w:rPr>
        <w:t>，且蓝光视网膜危害应符合国际电工委员会标准</w:t>
      </w:r>
      <w:r>
        <w:rPr>
          <w:rFonts w:ascii="仿宋_GB2312" w:eastAsia="仿宋_GB2312" w:cs="仿宋_GB2312"/>
          <w:sz w:val="32"/>
          <w:szCs w:val="32"/>
        </w:rPr>
        <w:t>(IEC/TR 62778-2014)</w:t>
      </w:r>
      <w:r>
        <w:rPr>
          <w:rFonts w:hint="eastAsia" w:ascii="仿宋_GB2312" w:eastAsia="仿宋_GB2312" w:cs="仿宋_GB2312"/>
          <w:sz w:val="32"/>
          <w:szCs w:val="32"/>
        </w:rPr>
        <w:t>被评估为无危害类产品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等级为</w:t>
      </w:r>
      <w:r>
        <w:rPr>
          <w:rFonts w:ascii="仿宋_GB2312" w:eastAsia="仿宋_GB2312" w:cs="仿宋_GB2312"/>
          <w:sz w:val="32"/>
          <w:szCs w:val="32"/>
        </w:rPr>
        <w:t>RG0)</w:t>
      </w:r>
      <w:r>
        <w:rPr>
          <w:rFonts w:hint="eastAsia" w:ascii="仿宋_GB2312" w:eastAsia="仿宋_GB2312" w:cs="仿宋_GB2312"/>
          <w:sz w:val="32"/>
          <w:szCs w:val="32"/>
        </w:rPr>
        <w:t>。学校要求厂家提交相关强制性的安全检测报告。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18. </w:t>
      </w:r>
      <w:r>
        <w:rPr>
          <w:rFonts w:hint="eastAsia" w:ascii="仿宋_GB2312" w:eastAsia="仿宋_GB2312" w:cs="仿宋_GB2312"/>
          <w:sz w:val="32"/>
          <w:szCs w:val="32"/>
        </w:rPr>
        <w:t>规范安装照明设备。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为减少照明光源引起的直接眩光，教室灯具宜安装格栅灯罩，不宜用裸灯，灯管排列长轴垂直于黑板面，灯具距桌面的最低悬挂高度不应低于</w:t>
      </w:r>
      <w:r>
        <w:rPr>
          <w:rFonts w:ascii="仿宋_GB2312" w:eastAsia="仿宋_GB2312" w:cs="仿宋_GB2312"/>
          <w:sz w:val="32"/>
          <w:szCs w:val="32"/>
        </w:rPr>
        <w:t>1.7</w:t>
      </w:r>
      <w:r>
        <w:rPr>
          <w:rFonts w:hint="eastAsia" w:ascii="仿宋_GB2312" w:eastAsia="仿宋_GB2312" w:cs="仿宋_GB2312"/>
          <w:sz w:val="32"/>
          <w:szCs w:val="32"/>
        </w:rPr>
        <w:t>米。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/>
          <w:sz w:val="32"/>
          <w:szCs w:val="32"/>
        </w:rPr>
        <w:t>9.</w:t>
      </w:r>
      <w:r>
        <w:rPr>
          <w:rFonts w:hint="eastAsia" w:ascii="仿宋_GB2312" w:eastAsia="仿宋_GB2312" w:cs="仿宋_GB2312"/>
          <w:sz w:val="32"/>
          <w:szCs w:val="32"/>
        </w:rPr>
        <w:t>教学电子屏幕图像、文字显示稳定舒适，清晰可辨，避免眩光，过滤蓝光，具有广视角。建议面积为</w:t>
      </w: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hint="eastAsia" w:ascii="仿宋_GB2312" w:eastAsia="仿宋_GB2312" w:cs="仿宋_GB2312"/>
          <w:sz w:val="32"/>
          <w:szCs w:val="32"/>
        </w:rPr>
        <w:t>平方米及以上教室配置电子屏幕显示面积不小于</w:t>
      </w:r>
      <w:r>
        <w:rPr>
          <w:rFonts w:ascii="仿宋_GB2312" w:eastAsia="仿宋_GB2312" w:cs="仿宋_GB2312"/>
          <w:sz w:val="32"/>
          <w:szCs w:val="32"/>
        </w:rPr>
        <w:t>86</w:t>
      </w:r>
      <w:r>
        <w:rPr>
          <w:rFonts w:hint="eastAsia" w:ascii="仿宋_GB2312" w:eastAsia="仿宋_GB2312" w:cs="仿宋_GB2312"/>
          <w:sz w:val="32"/>
          <w:szCs w:val="32"/>
        </w:rPr>
        <w:t>英寸。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20.</w:t>
      </w:r>
      <w:r>
        <w:rPr>
          <w:rFonts w:hint="eastAsia" w:ascii="仿宋_GB2312" w:eastAsia="仿宋_GB2312" w:cs="仿宋_GB2312"/>
          <w:sz w:val="32"/>
          <w:szCs w:val="32"/>
        </w:rPr>
        <w:t>按照《学校课桌椅功能尺寸及技术要求</w:t>
      </w:r>
      <w:r>
        <w:rPr>
          <w:rFonts w:ascii="仿宋_GB2312" w:eastAsia="仿宋_GB2312" w:cs="仿宋_GB2312"/>
          <w:sz w:val="32"/>
          <w:szCs w:val="32"/>
        </w:rPr>
        <w:t>GB/T3976-2014</w:t>
      </w:r>
      <w:r>
        <w:rPr>
          <w:rFonts w:hint="eastAsia" w:ascii="仿宋_GB2312" w:eastAsia="仿宋_GB2312" w:cs="仿宋_GB2312"/>
          <w:sz w:val="32"/>
          <w:szCs w:val="32"/>
        </w:rPr>
        <w:t>》，学校课桌椅配置符合率不低于</w:t>
      </w:r>
      <w:r>
        <w:rPr>
          <w:rFonts w:ascii="仿宋_GB2312" w:eastAsia="仿宋_GB2312" w:cs="仿宋_GB2312"/>
          <w:sz w:val="32"/>
          <w:szCs w:val="32"/>
        </w:rPr>
        <w:t>80%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21.</w:t>
      </w:r>
      <w:r>
        <w:rPr>
          <w:rFonts w:hint="eastAsia" w:ascii="仿宋_GB2312" w:eastAsia="仿宋_GB2312" w:cs="仿宋_GB2312"/>
          <w:sz w:val="32"/>
          <w:szCs w:val="32"/>
        </w:rPr>
        <w:t>每月调换学生座位至少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次。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六、认真做好眼保健操，有效利用课间进行眼部放松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22.</w:t>
      </w:r>
      <w:r>
        <w:rPr>
          <w:rFonts w:hint="eastAsia" w:ascii="仿宋_GB2312" w:eastAsia="仿宋_GB2312" w:cs="仿宋_GB2312"/>
          <w:sz w:val="32"/>
          <w:szCs w:val="32"/>
        </w:rPr>
        <w:t>每天上、下午各做一次眼保健操，动作准确到位。提倡在户外做运动型爱眼操。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23.</w:t>
      </w:r>
      <w:r>
        <w:rPr>
          <w:rFonts w:hint="eastAsia" w:ascii="仿宋_GB2312" w:eastAsia="仿宋_GB2312" w:cs="仿宋_GB2312"/>
          <w:sz w:val="32"/>
          <w:szCs w:val="32"/>
        </w:rPr>
        <w:t>课堂上任课教师随时提醒学生保持正确坐姿和读写姿势。鼓励使用坐姿矫正器。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24.</w:t>
      </w:r>
      <w:r>
        <w:rPr>
          <w:rFonts w:hint="eastAsia" w:ascii="仿宋_GB2312" w:eastAsia="仿宋_GB2312" w:cs="仿宋_GB2312"/>
          <w:sz w:val="32"/>
          <w:szCs w:val="32"/>
        </w:rPr>
        <w:t>有序组织和督促学生课间到室外活动或远眺，教师不得拖堂，学生不得连续视近作业。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七、配合医疗机构开展视力监测，建立学生视力档案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25.</w:t>
      </w:r>
      <w:r>
        <w:rPr>
          <w:rFonts w:hint="eastAsia" w:ascii="仿宋_GB2312" w:eastAsia="仿宋_GB2312" w:cs="仿宋_GB2312"/>
          <w:sz w:val="32"/>
          <w:szCs w:val="32"/>
        </w:rPr>
        <w:t>每学期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次视力筛查，近视筛查学生全覆盖。督促近视高危学生及时复查，早期发现近视的倾向或趋势，尽早采取医学干预。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26.</w:t>
      </w:r>
      <w:r>
        <w:rPr>
          <w:rFonts w:hint="eastAsia" w:ascii="仿宋_GB2312" w:eastAsia="仿宋_GB2312" w:cs="仿宋_GB2312"/>
          <w:sz w:val="32"/>
          <w:szCs w:val="32"/>
        </w:rPr>
        <w:t>一人一档，分档管理。对视力异常或可疑眼病的，提供个性化、针对性的干预措施。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八、配合医疗机构规范使用近视干预治疗适宜技术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27.</w:t>
      </w:r>
      <w:r>
        <w:rPr>
          <w:rFonts w:hint="eastAsia" w:ascii="仿宋_GB2312" w:eastAsia="仿宋_GB2312" w:cs="仿宋_GB2312"/>
          <w:sz w:val="32"/>
          <w:szCs w:val="32"/>
        </w:rPr>
        <w:t>在眼科医生指导下使用低浓度阿托品眼液防控近视。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28.</w:t>
      </w:r>
      <w:r>
        <w:rPr>
          <w:rFonts w:hint="eastAsia" w:ascii="仿宋_GB2312" w:eastAsia="仿宋_GB2312" w:cs="仿宋_GB2312"/>
          <w:sz w:val="32"/>
          <w:szCs w:val="32"/>
        </w:rPr>
        <w:t>在具备资质的医疗机构眼科医生指导下佩戴角膜塑形镜，可矫正</w:t>
      </w:r>
      <w:r>
        <w:rPr>
          <w:rFonts w:ascii="仿宋_GB2312" w:eastAsia="仿宋_GB2312" w:cs="仿宋_GB2312"/>
          <w:sz w:val="32"/>
          <w:szCs w:val="32"/>
        </w:rPr>
        <w:t>600</w:t>
      </w:r>
      <w:r>
        <w:rPr>
          <w:rFonts w:hint="eastAsia" w:ascii="仿宋_GB2312" w:eastAsia="仿宋_GB2312" w:cs="仿宋_GB2312"/>
          <w:sz w:val="32"/>
          <w:szCs w:val="32"/>
        </w:rPr>
        <w:t>度及以下近视。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29.</w:t>
      </w:r>
      <w:r>
        <w:rPr>
          <w:rFonts w:hint="eastAsia" w:ascii="仿宋_GB2312" w:eastAsia="仿宋_GB2312" w:cs="仿宋_GB2312"/>
          <w:sz w:val="32"/>
          <w:szCs w:val="32"/>
        </w:rPr>
        <w:t>选择具备资质的专门机构验光配镜。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九、评议考核</w:t>
      </w:r>
    </w:p>
    <w:p>
      <w:pPr>
        <w:spacing w:line="580" w:lineRule="exact"/>
        <w:ind w:firstLine="640" w:firstLineChars="200"/>
      </w:pPr>
      <w:r>
        <w:rPr>
          <w:rFonts w:ascii="仿宋_GB2312" w:eastAsia="仿宋_GB2312" w:cs="仿宋_GB2312"/>
          <w:sz w:val="32"/>
          <w:szCs w:val="32"/>
        </w:rPr>
        <w:t>30.</w:t>
      </w:r>
      <w:r>
        <w:rPr>
          <w:rFonts w:hint="eastAsia" w:ascii="仿宋_GB2312" w:eastAsia="仿宋_GB2312" w:cs="仿宋_GB2312"/>
          <w:sz w:val="32"/>
          <w:szCs w:val="32"/>
        </w:rPr>
        <w:t>教育督导部门将学校近视防控工作纳入责任督学经常性督导。教育行政部门将学校近视防控工作成效列入校长年度考核内容，并对各校学生视力变化情况予以通报。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144C7"/>
    <w:rsid w:val="6CA1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2021-09-03T08:15:00Z</dcterms:created>
  <dc:creator>曾桦</dc:creator>
  <cp:lastModifiedBy>曾桦</cp:lastModifiedBy>
  <dcterms:modified xsi:type="dcterms:W3CDTF">2021-09-03T08:16:33Z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