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ascii="宋体" w:hAnsi="宋体"/>
          <w:color w:val="000000"/>
          <w:sz w:val="24"/>
          <w:szCs w:val="24"/>
        </w:rPr>
      </w:pPr>
      <w:r>
        <w:rPr>
          <w:rFonts w:hint="eastAsia" w:ascii="宋体" w:hAnsi="宋体"/>
          <w:color w:val="000000"/>
          <w:sz w:val="24"/>
          <w:szCs w:val="24"/>
        </w:rPr>
        <w:t>附件</w:t>
      </w:r>
      <w:r>
        <w:rPr>
          <w:rFonts w:ascii="宋体" w:hAnsi="宋体"/>
          <w:color w:val="000000"/>
          <w:sz w:val="24"/>
          <w:szCs w:val="24"/>
        </w:rPr>
        <w:t>1</w:t>
      </w:r>
    </w:p>
    <w:p>
      <w:pPr>
        <w:spacing w:line="0" w:lineRule="atLeast"/>
        <w:jc w:val="center"/>
        <w:rPr>
          <w:rFonts w:hint="eastAsia" w:ascii="宋体" w:hAnsi="宋体"/>
          <w:color w:val="000000"/>
          <w:sz w:val="36"/>
          <w:szCs w:val="36"/>
        </w:rPr>
      </w:pPr>
      <w:bookmarkStart w:id="0" w:name="_GoBack"/>
      <w:r>
        <w:rPr>
          <w:rFonts w:hint="eastAsia" w:ascii="宋体" w:hAnsi="宋体"/>
          <w:color w:val="000000"/>
          <w:sz w:val="36"/>
          <w:szCs w:val="36"/>
        </w:rPr>
        <w:t>结余留用资金计算公式</w:t>
      </w:r>
    </w:p>
    <w:bookmarkEnd w:id="0"/>
    <w:p>
      <w:pPr>
        <w:spacing w:before="156" w:beforeLines="50" w:after="156" w:afterLines="50" w:line="0" w:lineRule="atLeast"/>
        <w:jc w:val="center"/>
        <w:rPr>
          <w:rFonts w:hint="eastAsia" w:ascii="楷体_GB2312" w:hAnsi="宋体" w:eastAsia="楷体_GB2312"/>
          <w:color w:val="000000"/>
          <w:sz w:val="28"/>
          <w:szCs w:val="28"/>
        </w:rPr>
      </w:pPr>
      <w:r>
        <w:rPr>
          <w:rFonts w:hint="eastAsia" w:ascii="楷体_GB2312" w:hAnsi="宋体" w:eastAsia="楷体_GB2312"/>
          <w:color w:val="000000"/>
          <w:sz w:val="28"/>
          <w:szCs w:val="28"/>
        </w:rPr>
        <w:t>（各定点医疗机构、各批次）</w:t>
      </w:r>
    </w:p>
    <w:p>
      <w:pPr>
        <w:spacing w:line="410" w:lineRule="atLeast"/>
        <w:ind w:firstLine="480" w:firstLineChars="200"/>
        <w:rPr>
          <w:rFonts w:ascii="宋体" w:hAnsi="宋体"/>
          <w:color w:val="000000"/>
          <w:sz w:val="24"/>
          <w:szCs w:val="24"/>
        </w:rPr>
      </w:pPr>
      <w:r>
        <w:rPr>
          <w:rFonts w:hint="eastAsia" w:ascii="宋体" w:hAnsi="宋体"/>
          <w:color w:val="000000"/>
          <w:sz w:val="24"/>
          <w:szCs w:val="24"/>
        </w:rPr>
        <w:t>结余基数</w:t>
      </w:r>
      <w:r>
        <w:rPr>
          <w:rFonts w:ascii="宋体" w:hAnsi="宋体"/>
          <w:color w:val="000000"/>
          <w:sz w:val="24"/>
          <w:szCs w:val="24"/>
        </w:rPr>
        <w:t>＝</w:t>
      </w:r>
      <w:r>
        <w:rPr>
          <w:rFonts w:hint="eastAsia" w:ascii="宋体" w:hAnsi="宋体"/>
          <w:color w:val="000000"/>
          <w:sz w:val="24"/>
          <w:szCs w:val="24"/>
        </w:rPr>
        <w:t>集采药品医保资金预算</w:t>
      </w:r>
      <w:r>
        <w:rPr>
          <w:rFonts w:ascii="宋体" w:hAnsi="宋体"/>
          <w:color w:val="000000"/>
          <w:sz w:val="24"/>
          <w:szCs w:val="24"/>
        </w:rPr>
        <w:t>－</w:t>
      </w:r>
      <w:r>
        <w:rPr>
          <w:rFonts w:hint="eastAsia" w:ascii="宋体" w:hAnsi="宋体"/>
          <w:color w:val="000000"/>
          <w:sz w:val="24"/>
          <w:szCs w:val="24"/>
        </w:rPr>
        <w:t>集采药品医保支出金额</w:t>
      </w:r>
    </w:p>
    <w:p>
      <w:pPr>
        <w:spacing w:line="410" w:lineRule="atLeast"/>
        <w:ind w:firstLine="480" w:firstLineChars="200"/>
        <w:rPr>
          <w:rFonts w:ascii="宋体" w:hAnsi="宋体"/>
          <w:color w:val="000000"/>
          <w:sz w:val="24"/>
          <w:szCs w:val="24"/>
        </w:rPr>
      </w:pPr>
      <w:r>
        <w:rPr>
          <w:rFonts w:hint="eastAsia" w:ascii="宋体" w:hAnsi="宋体"/>
          <w:color w:val="000000"/>
          <w:sz w:val="24"/>
          <w:szCs w:val="24"/>
        </w:rPr>
        <w:t>其中：</w:t>
      </w:r>
    </w:p>
    <w:p>
      <w:pPr>
        <w:spacing w:line="410" w:lineRule="atLeast"/>
        <w:ind w:firstLine="480" w:firstLineChars="200"/>
        <w:rPr>
          <w:rFonts w:ascii="宋体" w:hAnsi="宋体"/>
          <w:color w:val="000000"/>
          <w:sz w:val="24"/>
          <w:szCs w:val="24"/>
        </w:rPr>
      </w:pPr>
      <w:r>
        <w:rPr>
          <w:rFonts w:hint="eastAsia" w:ascii="宋体" w:hAnsi="宋体"/>
          <w:color w:val="000000"/>
          <w:sz w:val="24"/>
          <w:szCs w:val="24"/>
        </w:rPr>
        <w:t>集采药品医保资金预算</w:t>
      </w:r>
      <w:r>
        <w:rPr>
          <w:rFonts w:ascii="宋体" w:hAnsi="宋体"/>
          <w:color w:val="000000"/>
          <w:sz w:val="24"/>
          <w:szCs w:val="24"/>
        </w:rPr>
        <w:t>＝∑</w:t>
      </w:r>
      <w:r>
        <w:rPr>
          <w:rFonts w:hint="eastAsia" w:ascii="宋体" w:hAnsi="宋体"/>
          <w:color w:val="000000"/>
          <w:sz w:val="24"/>
          <w:szCs w:val="24"/>
        </w:rPr>
        <w:t>（约定采购量基数</w:t>
      </w:r>
      <w:r>
        <w:rPr>
          <w:rFonts w:ascii="宋体" w:hAnsi="宋体"/>
          <w:color w:val="000000"/>
          <w:sz w:val="24"/>
          <w:szCs w:val="24"/>
        </w:rPr>
        <w:t>×</w:t>
      </w:r>
      <w:r>
        <w:rPr>
          <w:rFonts w:hint="eastAsia" w:ascii="宋体" w:hAnsi="宋体" w:cs="宋体"/>
          <w:color w:val="000000"/>
          <w:sz w:val="24"/>
          <w:szCs w:val="24"/>
          <w:vertAlign w:val="superscript"/>
        </w:rPr>
        <w:t>★</w:t>
      </w:r>
      <w:r>
        <w:rPr>
          <w:rFonts w:hint="eastAsia" w:ascii="宋体" w:hAnsi="宋体"/>
          <w:color w:val="000000"/>
          <w:sz w:val="24"/>
          <w:szCs w:val="24"/>
        </w:rPr>
        <w:t>集采前通用名药品加权平均价格）</w:t>
      </w:r>
      <w:r>
        <w:rPr>
          <w:rFonts w:ascii="宋体" w:hAnsi="宋体"/>
          <w:color w:val="000000"/>
          <w:sz w:val="24"/>
          <w:szCs w:val="24"/>
        </w:rPr>
        <w:t>×</w:t>
      </w:r>
      <w:r>
        <w:rPr>
          <w:rFonts w:hint="eastAsia" w:ascii="宋体" w:hAnsi="宋体" w:cs="宋体"/>
          <w:color w:val="000000"/>
          <w:sz w:val="24"/>
          <w:szCs w:val="24"/>
          <w:vertAlign w:val="superscript"/>
        </w:rPr>
        <w:t>★</w:t>
      </w:r>
      <w:r>
        <w:rPr>
          <w:rFonts w:hint="eastAsia" w:ascii="宋体" w:hAnsi="宋体"/>
          <w:color w:val="000000"/>
          <w:sz w:val="24"/>
          <w:szCs w:val="24"/>
        </w:rPr>
        <w:t>医保基金实际支付比例</w:t>
      </w:r>
      <w:r>
        <w:rPr>
          <w:rFonts w:ascii="宋体" w:hAnsi="宋体"/>
          <w:color w:val="000000"/>
          <w:sz w:val="24"/>
          <w:szCs w:val="24"/>
        </w:rPr>
        <w:t>×</w:t>
      </w:r>
      <w:r>
        <w:rPr>
          <w:rFonts w:hint="eastAsia" w:ascii="宋体" w:hAnsi="宋体"/>
          <w:color w:val="000000"/>
          <w:sz w:val="24"/>
          <w:szCs w:val="24"/>
        </w:rPr>
        <w:t>集采通用名药品参保患者使用金额占比</w:t>
      </w:r>
    </w:p>
    <w:p>
      <w:pPr>
        <w:spacing w:line="410" w:lineRule="atLeast"/>
        <w:ind w:firstLine="480" w:firstLineChars="200"/>
        <w:rPr>
          <w:rFonts w:ascii="宋体" w:hAnsi="宋体"/>
          <w:color w:val="000000"/>
          <w:sz w:val="24"/>
          <w:szCs w:val="24"/>
        </w:rPr>
      </w:pPr>
      <w:r>
        <w:rPr>
          <w:rFonts w:hint="eastAsia" w:ascii="宋体" w:hAnsi="宋体"/>
          <w:color w:val="000000"/>
          <w:sz w:val="24"/>
          <w:szCs w:val="24"/>
        </w:rPr>
        <w:t>集采药品医保支出金额</w:t>
      </w:r>
      <w:r>
        <w:rPr>
          <w:rFonts w:ascii="宋体" w:hAnsi="宋体"/>
          <w:color w:val="000000"/>
          <w:sz w:val="24"/>
          <w:szCs w:val="24"/>
        </w:rPr>
        <w:t>＝∑</w:t>
      </w:r>
      <w:r>
        <w:rPr>
          <w:rFonts w:hint="eastAsia" w:ascii="宋体" w:hAnsi="宋体"/>
          <w:color w:val="000000"/>
          <w:sz w:val="24"/>
          <w:szCs w:val="24"/>
        </w:rPr>
        <w:t>（中选产品约定采购量</w:t>
      </w:r>
      <w:r>
        <w:rPr>
          <w:rFonts w:ascii="宋体" w:hAnsi="宋体"/>
          <w:color w:val="000000"/>
          <w:sz w:val="24"/>
          <w:szCs w:val="24"/>
        </w:rPr>
        <w:t>×</w:t>
      </w:r>
      <w:r>
        <w:rPr>
          <w:rFonts w:hint="eastAsia" w:ascii="宋体" w:hAnsi="宋体"/>
          <w:color w:val="000000"/>
          <w:sz w:val="24"/>
          <w:szCs w:val="24"/>
        </w:rPr>
        <w:t>中选价格</w:t>
      </w:r>
      <w:r>
        <w:rPr>
          <w:rFonts w:ascii="宋体" w:hAnsi="宋体"/>
          <w:color w:val="000000"/>
          <w:sz w:val="24"/>
          <w:szCs w:val="24"/>
        </w:rPr>
        <w:t>＋</w:t>
      </w:r>
      <w:r>
        <w:rPr>
          <w:rFonts w:hint="eastAsia" w:ascii="宋体" w:hAnsi="宋体"/>
          <w:color w:val="000000"/>
          <w:sz w:val="24"/>
          <w:szCs w:val="24"/>
        </w:rPr>
        <w:t>非中选产品使用金额）</w:t>
      </w:r>
      <w:r>
        <w:rPr>
          <w:rFonts w:ascii="宋体" w:hAnsi="宋体"/>
          <w:color w:val="000000"/>
          <w:sz w:val="24"/>
          <w:szCs w:val="24"/>
        </w:rPr>
        <w:t>×</w:t>
      </w:r>
      <w:r>
        <w:rPr>
          <w:rFonts w:hint="eastAsia" w:ascii="宋体" w:hAnsi="宋体" w:cs="宋体"/>
          <w:color w:val="000000"/>
          <w:sz w:val="24"/>
          <w:szCs w:val="24"/>
          <w:vertAlign w:val="superscript"/>
        </w:rPr>
        <w:t>★</w:t>
      </w:r>
      <w:r>
        <w:rPr>
          <w:rFonts w:hint="eastAsia" w:ascii="宋体" w:hAnsi="宋体"/>
          <w:color w:val="000000"/>
          <w:sz w:val="24"/>
          <w:szCs w:val="24"/>
        </w:rPr>
        <w:t>医保基金实际支付比例</w:t>
      </w:r>
      <w:r>
        <w:rPr>
          <w:rFonts w:ascii="宋体" w:hAnsi="宋体"/>
          <w:color w:val="000000"/>
          <w:sz w:val="24"/>
          <w:szCs w:val="24"/>
        </w:rPr>
        <w:t>×</w:t>
      </w:r>
      <w:r>
        <w:rPr>
          <w:rFonts w:hint="eastAsia" w:ascii="宋体" w:hAnsi="宋体"/>
          <w:color w:val="000000"/>
          <w:sz w:val="24"/>
          <w:szCs w:val="24"/>
        </w:rPr>
        <w:t>集采通用名药品参保患者使用金额占比</w:t>
      </w:r>
    </w:p>
    <w:p>
      <w:pPr>
        <w:spacing w:line="410" w:lineRule="atLeast"/>
        <w:ind w:firstLine="480" w:firstLineChars="200"/>
        <w:rPr>
          <w:rFonts w:ascii="宋体" w:hAnsi="宋体"/>
          <w:color w:val="000000"/>
          <w:sz w:val="24"/>
          <w:szCs w:val="24"/>
        </w:rPr>
      </w:pPr>
      <w:r>
        <w:rPr>
          <w:rFonts w:hint="eastAsia" w:ascii="宋体" w:hAnsi="宋体"/>
          <w:color w:val="000000"/>
          <w:sz w:val="24"/>
          <w:szCs w:val="24"/>
        </w:rPr>
        <w:t>结余留用资金</w:t>
      </w:r>
      <w:r>
        <w:rPr>
          <w:rFonts w:ascii="宋体" w:hAnsi="宋体"/>
          <w:color w:val="000000"/>
          <w:sz w:val="24"/>
          <w:szCs w:val="24"/>
        </w:rPr>
        <w:t>＝</w:t>
      </w:r>
      <w:r>
        <w:rPr>
          <w:rFonts w:hint="eastAsia" w:ascii="宋体" w:hAnsi="宋体"/>
          <w:color w:val="000000"/>
          <w:sz w:val="24"/>
          <w:szCs w:val="24"/>
        </w:rPr>
        <w:t>结余基数</w:t>
      </w:r>
      <w:r>
        <w:rPr>
          <w:rFonts w:ascii="宋体" w:hAnsi="宋体"/>
          <w:color w:val="000000"/>
          <w:sz w:val="24"/>
          <w:szCs w:val="24"/>
        </w:rPr>
        <w:t>×</w:t>
      </w:r>
      <w:r>
        <w:rPr>
          <w:rFonts w:hint="eastAsia" w:ascii="宋体" w:hAnsi="宋体"/>
          <w:color w:val="000000"/>
          <w:sz w:val="24"/>
          <w:szCs w:val="24"/>
        </w:rPr>
        <w:t>结余留用比例</w:t>
      </w:r>
      <w:r>
        <w:rPr>
          <w:rFonts w:ascii="宋体" w:hAnsi="宋体"/>
          <w:color w:val="000000"/>
          <w:sz w:val="24"/>
          <w:szCs w:val="24"/>
        </w:rPr>
        <w:t>×</w:t>
      </w:r>
      <w:r>
        <w:rPr>
          <w:rFonts w:hint="eastAsia" w:ascii="宋体" w:hAnsi="宋体" w:cs="宋体"/>
          <w:color w:val="000000"/>
          <w:sz w:val="24"/>
          <w:szCs w:val="24"/>
          <w:vertAlign w:val="superscript"/>
        </w:rPr>
        <w:t>★</w:t>
      </w:r>
      <w:r>
        <w:rPr>
          <w:rFonts w:hint="eastAsia" w:ascii="宋体" w:hAnsi="宋体"/>
          <w:color w:val="000000"/>
          <w:sz w:val="24"/>
          <w:szCs w:val="24"/>
        </w:rPr>
        <w:t>统筹基金支付费用占比</w:t>
      </w:r>
    </w:p>
    <w:p>
      <w:pPr>
        <w:spacing w:line="300" w:lineRule="atLeast"/>
        <w:ind w:firstLine="420" w:firstLineChars="200"/>
        <w:rPr>
          <w:rFonts w:hint="eastAsia" w:ascii="楷体_GB2312" w:hAnsi="宋体" w:eastAsia="楷体_GB2312"/>
          <w:color w:val="000000"/>
          <w:szCs w:val="21"/>
        </w:rPr>
      </w:pPr>
    </w:p>
    <w:p>
      <w:pPr>
        <w:spacing w:line="360" w:lineRule="atLeast"/>
        <w:rPr>
          <w:rFonts w:hint="eastAsia" w:ascii="楷体_GB2312" w:hAnsi="宋体" w:eastAsia="楷体_GB2312"/>
          <w:color w:val="000000"/>
          <w:kern w:val="21"/>
          <w:szCs w:val="21"/>
        </w:rPr>
      </w:pPr>
      <w:r>
        <w:rPr>
          <w:rFonts w:hint="eastAsia" w:ascii="楷体_GB2312" w:hAnsi="宋体" w:eastAsia="楷体_GB2312"/>
          <w:color w:val="000000"/>
          <w:kern w:val="21"/>
          <w:szCs w:val="21"/>
        </w:rPr>
        <w:t>注：</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1．约定采购量基数、中选产品约定采购量：以国家、省、市公布或下发的数据为准。按本办法第十条进行调整的，以调整后的数据计算；</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2．集采前通用名药品加权平均价格：为集采落地的上一自然年度通用名药品交易总额与相应采购总量的商值；</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3．医保基金实际支付比例：以年度医保基金实际支付的基金总额与参保人医保政策范围内医疗费用支出总额的比例确定；</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4．集采通用名药品参保患者使用金额占比：以采购执行年度定点医疗机构参保患者集采通用名药品支出总费用与定点医疗机构所有患者集采通用名药品支出总费用的比例确定；</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5．中选价格：药品集采中选产品价格；</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6．非中选产品使用金额：同一时期内，与中选产品同通用名的非中选产品的使用金额，可用采购金额计算（采购价格低于中选价格且已通过一致性评价的非中选产品除外）；</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7．结余留用比例：按本办法第十四条确定；</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8．统筹基金支付费用占比：以年度统筹基金总支出与年度医保基金总支出的比值确定；</w:t>
      </w:r>
    </w:p>
    <w:p>
      <w:pPr>
        <w:spacing w:line="350" w:lineRule="atLeast"/>
        <w:ind w:firstLine="420" w:firstLineChars="200"/>
        <w:rPr>
          <w:rFonts w:hint="eastAsia" w:ascii="楷体_GB2312" w:hAnsi="宋体" w:eastAsia="楷体_GB2312"/>
          <w:color w:val="000000"/>
          <w:kern w:val="21"/>
          <w:szCs w:val="21"/>
        </w:rPr>
      </w:pPr>
      <w:r>
        <w:rPr>
          <w:rFonts w:hint="eastAsia" w:ascii="楷体_GB2312" w:hAnsi="宋体" w:eastAsia="楷体_GB2312"/>
          <w:color w:val="000000"/>
          <w:kern w:val="21"/>
          <w:szCs w:val="21"/>
        </w:rPr>
        <w:t>9．公式中标记</w:t>
      </w:r>
      <w:r>
        <w:rPr>
          <w:rFonts w:hint="eastAsia" w:ascii="楷体_GB2312" w:hAnsi="宋体" w:eastAsia="楷体_GB2312" w:cs="宋体"/>
          <w:color w:val="000000"/>
          <w:kern w:val="21"/>
          <w:szCs w:val="21"/>
        </w:rPr>
        <w:t>★</w:t>
      </w:r>
      <w:r>
        <w:rPr>
          <w:rFonts w:hint="eastAsia" w:ascii="楷体_GB2312" w:hAnsi="宋体" w:eastAsia="楷体_GB2312"/>
          <w:color w:val="000000"/>
          <w:kern w:val="21"/>
          <w:szCs w:val="21"/>
        </w:rPr>
        <w:t>的，为本办法第十八条所指以自然年度为计算范围的计算参数，按该条规定进行计算（其中，“集采前通用名药品加权平均价格”以集采落地上一自然年度数据计算）。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D0A61"/>
    <w:rsid w:val="128D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2021-06-22T08:22:00Z</dcterms:created>
  <dc:creator>微凉</dc:creator>
  <cp:lastModifiedBy>微凉</cp:lastModifiedBy>
  <dcterms:modified xsi:type="dcterms:W3CDTF">2021-06-22T08:22:58Z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D34115B16A354951A4094063587C5910</vt:lpwstr>
  </property>
</Properties>
</file>