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w:t>
      </w:r>
    </w:p>
    <w:p>
      <w:pPr>
        <w:spacing w:line="0" w:lineRule="atLeast"/>
        <w:jc w:val="center"/>
        <w:rPr>
          <w:rFonts w:hint="eastAsia" w:ascii="宋体" w:hAnsi="宋体"/>
          <w:sz w:val="36"/>
          <w:szCs w:val="36"/>
        </w:rPr>
      </w:pPr>
      <w:r>
        <w:rPr>
          <w:rFonts w:hint="eastAsia" w:ascii="宋体" w:hAnsi="宋体"/>
          <w:sz w:val="36"/>
          <w:szCs w:val="36"/>
        </w:rPr>
        <w:t>中国（广东）自由贸易试验区深圳前海蛇口片区</w:t>
      </w:r>
    </w:p>
    <w:p>
      <w:pPr>
        <w:spacing w:after="156" w:afterLines="50" w:line="0" w:lineRule="atLeast"/>
        <w:jc w:val="center"/>
        <w:rPr>
          <w:rFonts w:hint="eastAsia" w:ascii="宋体" w:hAnsi="宋体"/>
          <w:sz w:val="36"/>
          <w:szCs w:val="36"/>
        </w:rPr>
      </w:pPr>
      <w:bookmarkStart w:id="0" w:name="_GoBack"/>
      <w:r>
        <w:rPr>
          <w:rFonts w:hint="eastAsia" w:ascii="宋体" w:hAnsi="宋体"/>
          <w:sz w:val="36"/>
          <w:szCs w:val="36"/>
        </w:rPr>
        <w:t>第五批可复制推广改革创新经验任务分工表</w:t>
      </w:r>
      <w:bookmarkEnd w:id="0"/>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
        <w:gridCol w:w="1174"/>
        <w:gridCol w:w="5545"/>
        <w:gridCol w:w="73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377"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序号</w:t>
            </w:r>
          </w:p>
        </w:tc>
        <w:tc>
          <w:tcPr>
            <w:tcW w:w="1258"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试点事项</w:t>
            </w:r>
          </w:p>
        </w:tc>
        <w:tc>
          <w:tcPr>
            <w:tcW w:w="5940"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实施内容</w:t>
            </w:r>
          </w:p>
        </w:tc>
        <w:tc>
          <w:tcPr>
            <w:tcW w:w="784"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kern w:val="0"/>
                <w:szCs w:val="21"/>
                <w:lang w:bidi="ar"/>
              </w:rPr>
            </w:pPr>
            <w:r>
              <w:rPr>
                <w:rFonts w:hint="eastAsia" w:ascii="黑体" w:hAnsi="宋体" w:eastAsia="黑体" w:cs="仿宋_GB2312"/>
                <w:kern w:val="0"/>
                <w:szCs w:val="21"/>
                <w:lang w:bidi="ar"/>
              </w:rPr>
              <w:t>牵头</w:t>
            </w:r>
          </w:p>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单位</w:t>
            </w:r>
          </w:p>
        </w:tc>
        <w:tc>
          <w:tcPr>
            <w:tcW w:w="571"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推广范围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30" w:type="dxa"/>
            <w:gridSpan w:val="5"/>
            <w:noWrap w:val="0"/>
            <w:tcMar>
              <w:top w:w="15" w:type="dxa"/>
              <w:left w:w="15" w:type="dxa"/>
              <w:right w:w="15" w:type="dxa"/>
            </w:tcMar>
            <w:vAlign w:val="center"/>
          </w:tcPr>
          <w:p>
            <w:pPr>
              <w:widowControl/>
              <w:spacing w:line="260" w:lineRule="exact"/>
              <w:ind w:left="42" w:leftChars="20"/>
              <w:textAlignment w:val="center"/>
              <w:rPr>
                <w:rFonts w:hint="eastAsia" w:ascii="黑体" w:hAnsi="宋体" w:eastAsia="黑体" w:cs="仿宋_GB2312"/>
                <w:szCs w:val="21"/>
              </w:rPr>
            </w:pPr>
            <w:r>
              <w:rPr>
                <w:rFonts w:hint="eastAsia" w:ascii="黑体" w:hAnsi="宋体" w:eastAsia="黑体" w:cs="仿宋_GB2312"/>
                <w:kern w:val="0"/>
                <w:szCs w:val="21"/>
                <w:lang w:bidi="ar"/>
              </w:rPr>
              <w:t>一、投资便利化领域（8项）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4"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1</w:t>
            </w:r>
          </w:p>
        </w:tc>
        <w:tc>
          <w:tcPr>
            <w:tcW w:w="1258"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kern w:val="0"/>
                <w:szCs w:val="21"/>
                <w:lang w:bidi="ar"/>
              </w:rPr>
              <w:t>企业登记“秒批”服务</w:t>
            </w:r>
          </w:p>
        </w:tc>
        <w:tc>
          <w:tcPr>
            <w:tcW w:w="5940"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kern w:val="0"/>
                <w:szCs w:val="21"/>
                <w:lang w:bidi="ar"/>
              </w:rPr>
              <w:t>“秒批”服务依托全流程网上商事登记系统，企业名称库、统一地址编码库、实名核身数据库、失信人员名单库四个基础数据库的“一网四库”模式，通过建立信息共享，自动比对、核验申请信息的系统，推动申请材料结构化、业务流程标准化、审批要素指标化，实现全程无人干预自动审批。</w:t>
            </w:r>
          </w:p>
        </w:tc>
        <w:tc>
          <w:tcPr>
            <w:tcW w:w="784"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kern w:val="0"/>
                <w:szCs w:val="21"/>
                <w:lang w:bidi="ar"/>
              </w:rPr>
              <w:t>市市场监管局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bl>
    <w:p>
      <w:pPr>
        <w:spacing w:line="240" w:lineRule="exact"/>
        <w:rPr>
          <w:rFonts w:hint="eastAsia"/>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
        <w:gridCol w:w="1174"/>
        <w:gridCol w:w="5545"/>
        <w:gridCol w:w="73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377"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序号</w:t>
            </w:r>
          </w:p>
        </w:tc>
        <w:tc>
          <w:tcPr>
            <w:tcW w:w="1258"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试点事项</w:t>
            </w:r>
          </w:p>
        </w:tc>
        <w:tc>
          <w:tcPr>
            <w:tcW w:w="5940"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实施内容</w:t>
            </w:r>
          </w:p>
        </w:tc>
        <w:tc>
          <w:tcPr>
            <w:tcW w:w="784"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kern w:val="0"/>
                <w:szCs w:val="21"/>
                <w:lang w:bidi="ar"/>
              </w:rPr>
            </w:pPr>
            <w:r>
              <w:rPr>
                <w:rFonts w:hint="eastAsia" w:ascii="黑体" w:hAnsi="宋体" w:eastAsia="黑体" w:cs="仿宋_GB2312"/>
                <w:kern w:val="0"/>
                <w:szCs w:val="21"/>
                <w:lang w:bidi="ar"/>
              </w:rPr>
              <w:t>牵头</w:t>
            </w:r>
          </w:p>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单位</w:t>
            </w:r>
          </w:p>
        </w:tc>
        <w:tc>
          <w:tcPr>
            <w:tcW w:w="571"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推广范围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2</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pacing w:val="-9"/>
                <w:szCs w:val="21"/>
                <w:lang w:bidi="ar"/>
              </w:rPr>
              <w:t>加速税务</w:t>
            </w:r>
            <w:r>
              <w:rPr>
                <w:rFonts w:hint="eastAsia" w:ascii="宋体" w:hAnsi="宋体" w:cs="仿宋_GB2312"/>
                <w:spacing w:val="-20"/>
                <w:szCs w:val="21"/>
                <w:lang w:bidi="ar"/>
              </w:rPr>
              <w:t>“</w:t>
            </w:r>
            <w:r>
              <w:rPr>
                <w:rFonts w:hint="eastAsia" w:ascii="宋体" w:hAnsi="宋体" w:cs="仿宋_GB2312"/>
                <w:spacing w:val="-9"/>
                <w:szCs w:val="21"/>
                <w:lang w:bidi="ar"/>
              </w:rPr>
              <w:t>人</w:t>
            </w:r>
            <w:r>
              <w:rPr>
                <w:rFonts w:hint="eastAsia" w:ascii="宋体" w:hAnsi="宋体" w:cs="仿宋_GB2312"/>
                <w:szCs w:val="21"/>
                <w:lang w:bidi="ar"/>
              </w:rPr>
              <w:t>才高地”建设</w:t>
            </w:r>
          </w:p>
        </w:tc>
        <w:tc>
          <w:tcPr>
            <w:tcW w:w="5940" w:type="dxa"/>
            <w:noWrap w:val="0"/>
            <w:tcMar>
              <w:top w:w="15" w:type="dxa"/>
              <w:left w:w="15" w:type="dxa"/>
              <w:right w:w="15" w:type="dxa"/>
            </w:tcMar>
            <w:vAlign w:val="center"/>
          </w:tcPr>
          <w:p>
            <w:pPr>
              <w:widowControl/>
              <w:spacing w:line="266"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一是设立领航跨境税收工作室，集中国际税收业务骨干，邀请</w:t>
            </w:r>
            <w:r>
              <w:rPr>
                <w:rFonts w:hint="eastAsia" w:ascii="宋体" w:hAnsi="宋体" w:cs="仿宋_GB2312"/>
                <w:spacing w:val="-3"/>
                <w:szCs w:val="21"/>
                <w:lang w:bidi="ar"/>
              </w:rPr>
              <w:t>国际税收专家学者组成顾问团，搭建跨境税收服务平台。二是组建“外语精英＋个税骨干”团队，编译推出《外籍个人新个人所得税政策简明指引》。三是发扬“传、帮、带”精神，为实习生提</w:t>
            </w:r>
            <w:r>
              <w:rPr>
                <w:rFonts w:hint="eastAsia" w:ascii="宋体" w:hAnsi="宋体" w:cs="仿宋_GB2312"/>
                <w:szCs w:val="21"/>
                <w:lang w:bidi="ar"/>
              </w:rPr>
              <w:t>供定制化实习规划，运用“三级导师制”抓好新公务员培训。</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深圳市税务局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3</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组建“纳税人学堂”</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组建一支纳税人学堂师资团队，多样化开展直播、现场培训等，进行政策解读、实务操作培训；加强和拓展与各级工商联、各种行业协会、商会的合作，共同开展税法宣讲，深化税企合作；及时分析新政策适用的具体行业、纳税人类型等，并通过微信、短信、电子税务局、@深税等渠道，对政策适用对象进行精准政策推送。</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深圳市税务局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4</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建设政务大数据平台</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平台项目聚焦政务数据汇聚和共享，形成“一个中心、两个平台、多个应用”的系统构架，满足不同场景的应用需求。一是搭建1个大数据中心，以指标体系为基础的主题数据汇聚到大数据中心形成数据仓库，提供数据服务支撑。二是建立数据可视化平台和地理信息服务平台，支撑智慧应用建设。三是通过不同的业务场景打造多个应用，实现多屏统一信息精准推送。通过平台建设，有效破解了政务信息查询难、政务服务对接难、政务执行监测难、政务指标统计难的问题。同时，建立区域经济体征指标体系，全面、直观、多视角、快速了解经济总体运行状态。</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市政务服务数据管理局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5</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设立企业开</w:t>
            </w:r>
            <w:r>
              <w:rPr>
                <w:rFonts w:hint="eastAsia" w:ascii="宋体" w:hAnsi="宋体" w:cs="仿宋_GB2312"/>
                <w:spacing w:val="-8"/>
                <w:szCs w:val="21"/>
                <w:lang w:bidi="ar"/>
              </w:rPr>
              <w:t>办</w:t>
            </w:r>
            <w:r>
              <w:rPr>
                <w:rFonts w:hint="eastAsia" w:ascii="宋体" w:hAnsi="宋体" w:cs="仿宋_GB2312"/>
                <w:spacing w:val="-24"/>
                <w:szCs w:val="21"/>
                <w:lang w:bidi="ar"/>
              </w:rPr>
              <w:t>“</w:t>
            </w:r>
            <w:r>
              <w:rPr>
                <w:rFonts w:hint="eastAsia" w:ascii="宋体" w:hAnsi="宋体" w:cs="仿宋_GB2312"/>
                <w:spacing w:val="-2"/>
                <w:szCs w:val="21"/>
                <w:lang w:bidi="ar"/>
              </w:rPr>
              <w:t>一窗通</w:t>
            </w:r>
            <w:r>
              <w:rPr>
                <w:rFonts w:hint="eastAsia" w:ascii="宋体" w:hAnsi="宋体" w:cs="仿宋_GB2312"/>
                <w:spacing w:val="-20"/>
                <w:szCs w:val="21"/>
                <w:lang w:bidi="ar"/>
              </w:rPr>
              <w:t>”</w:t>
            </w:r>
            <w:r>
              <w:rPr>
                <w:rFonts w:hint="eastAsia" w:ascii="宋体" w:hAnsi="宋体" w:cs="仿宋_GB2312"/>
                <w:szCs w:val="21"/>
                <w:lang w:bidi="ar"/>
              </w:rPr>
              <w:t>服务专区</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设立企业开办服务专区，将企业设立登记、公章刻制、银行开户预约、申领发票、企业社会保险单位参保登记等涉企事项全部归集到“一窗通”平台，推动市场监管、公安、税务、社保、银行等部门线上线下互联互通。</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市市场监管局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6</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推出新办纳税人“套餐式”服务</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pacing w:val="-2"/>
                <w:szCs w:val="21"/>
                <w:lang w:bidi="ar"/>
              </w:rPr>
              <w:t>推出新办纳税人“套餐式”服务，新办企业在办理工商登记业务后</w:t>
            </w:r>
            <w:r>
              <w:rPr>
                <w:rFonts w:hint="eastAsia" w:ascii="宋体" w:hAnsi="宋体" w:cs="仿宋_GB2312"/>
                <w:szCs w:val="21"/>
                <w:lang w:bidi="ar"/>
              </w:rPr>
              <w:t>，可开通电子税务局权限、申请票种核定等。新办纳税人只需要在电子税务局上申请，税务部门审核后就会将发票、凭证</w:t>
            </w:r>
            <w:r>
              <w:rPr>
                <w:rFonts w:hint="eastAsia" w:ascii="宋体" w:hAnsi="宋体" w:cs="仿宋_GB2312"/>
                <w:spacing w:val="-2"/>
                <w:szCs w:val="21"/>
                <w:lang w:bidi="ar"/>
              </w:rPr>
              <w:t>和资料快递给新办企业，新办企业足不出户即可享受办税便利。</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深圳市税务局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7</w:t>
            </w:r>
          </w:p>
        </w:tc>
        <w:tc>
          <w:tcPr>
            <w:tcW w:w="1258" w:type="dxa"/>
            <w:noWrap w:val="0"/>
            <w:tcMar>
              <w:top w:w="15" w:type="dxa"/>
              <w:left w:w="15" w:type="dxa"/>
              <w:right w:w="15" w:type="dxa"/>
            </w:tcMar>
            <w:vAlign w:val="center"/>
          </w:tcPr>
          <w:p>
            <w:pPr>
              <w:widowControl/>
              <w:spacing w:line="24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提升境外投资者分配利润再投资暂不征收企业所得税优惠的确定性和便利性</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税务局对境外企业在增资方式、支付方式、利润性质等三方面的条件进行综合评估，满足条件的企业可以享受境外投资者以分配利润直接投资暂不征收预提所得税的优惠政策。</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深圳市税务局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8</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建立“e企惠”平台提供“千企千面”产业政策服务</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立“e企惠”平台，为辖区内企业提供“千企千面”式的个性化、智能化产业政策服务。一是对政策申请条件和扶持标准进行智能化解读，通过匹配企业及人才的基础数据，实现产业扶持和人才补贴政策的精准投送。二是基于企业动态数据库对企业进行精准画像，对重点企业每月通过短信、微信推送专属服务。三是基于政策的查询、申请情况，分析产业政策的关注度和满意度，通过数据可视化看板进行展示，为政策制定部门提供成效分析及政策调整的依据。</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市中小企业服务局、市政务服务数据管理局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bl>
    <w:p>
      <w:pPr>
        <w:spacing w:line="240" w:lineRule="exact"/>
        <w:rPr>
          <w:rFonts w:hint="eastAsia"/>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
        <w:gridCol w:w="1174"/>
        <w:gridCol w:w="5545"/>
        <w:gridCol w:w="73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377"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序号</w:t>
            </w:r>
          </w:p>
        </w:tc>
        <w:tc>
          <w:tcPr>
            <w:tcW w:w="1258"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试点事项</w:t>
            </w:r>
          </w:p>
        </w:tc>
        <w:tc>
          <w:tcPr>
            <w:tcW w:w="5940"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实施内容</w:t>
            </w:r>
          </w:p>
        </w:tc>
        <w:tc>
          <w:tcPr>
            <w:tcW w:w="784"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kern w:val="0"/>
                <w:szCs w:val="21"/>
                <w:lang w:bidi="ar"/>
              </w:rPr>
            </w:pPr>
            <w:r>
              <w:rPr>
                <w:rFonts w:hint="eastAsia" w:ascii="黑体" w:hAnsi="宋体" w:eastAsia="黑体" w:cs="仿宋_GB2312"/>
                <w:kern w:val="0"/>
                <w:szCs w:val="21"/>
                <w:lang w:bidi="ar"/>
              </w:rPr>
              <w:t>牵头</w:t>
            </w:r>
          </w:p>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单位</w:t>
            </w:r>
          </w:p>
        </w:tc>
        <w:tc>
          <w:tcPr>
            <w:tcW w:w="571"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推广范围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30" w:type="dxa"/>
            <w:gridSpan w:val="5"/>
            <w:noWrap w:val="0"/>
            <w:tcMar>
              <w:top w:w="15" w:type="dxa"/>
              <w:left w:w="15" w:type="dxa"/>
              <w:right w:w="15" w:type="dxa"/>
            </w:tcMar>
            <w:vAlign w:val="center"/>
          </w:tcPr>
          <w:p>
            <w:pPr>
              <w:widowControl/>
              <w:spacing w:line="260" w:lineRule="exact"/>
              <w:ind w:left="42" w:leftChars="20" w:right="42" w:rightChars="20"/>
              <w:textAlignment w:val="center"/>
              <w:rPr>
                <w:rFonts w:hint="eastAsia" w:ascii="黑体" w:hAnsi="宋体" w:eastAsia="黑体" w:cs="仿宋_GB2312"/>
                <w:szCs w:val="21"/>
                <w:lang w:bidi="ar"/>
              </w:rPr>
            </w:pPr>
            <w:r>
              <w:rPr>
                <w:rFonts w:hint="eastAsia" w:ascii="黑体" w:hAnsi="宋体" w:eastAsia="黑体" w:cs="仿宋_GB2312"/>
                <w:szCs w:val="21"/>
                <w:lang w:bidi="ar"/>
              </w:rPr>
              <w:t>二、贸易便利化领域（7项）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9</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免税进口科研设备流动监管模式改革</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在海关网上办事大厅嵌入“科研设备流动使用”模块，科研单位可通过此模块自行网上申报，实现免税进口科研设备、仪器的自主移动和携带，同时从网上办事大厅自动获取海关审核同意回执。此模式将原纸质申请变为网上办理，在确保科研用途的前提下扩大设备使用范围，可一次性申报多个流动需求，在深科研单位足不出户即可完成科研设备流动使用申报。</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深圳海关</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10</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建设跨境电商全业态监</w:t>
            </w:r>
            <w:r>
              <w:rPr>
                <w:rFonts w:hint="eastAsia" w:ascii="宋体" w:hAnsi="宋体" w:cs="仿宋_GB2312"/>
                <w:spacing w:val="4"/>
                <w:szCs w:val="21"/>
                <w:lang w:bidi="ar"/>
              </w:rPr>
              <w:t>管功能区</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建设跨境电商全业态监管功能区，设有储存、装卸、集拼、海关监管查验区等，通过叠加“跨境电商9610模式＋MCC全球中心仓”模式，推动跨境电商行业发展。</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深圳海关</w:t>
            </w:r>
          </w:p>
        </w:tc>
        <w:tc>
          <w:tcPr>
            <w:tcW w:w="571" w:type="dxa"/>
            <w:noWrap w:val="0"/>
            <w:tcMar>
              <w:top w:w="15" w:type="dxa"/>
              <w:left w:w="15" w:type="dxa"/>
              <w:right w:w="15" w:type="dxa"/>
            </w:tcMar>
            <w:vAlign w:val="center"/>
          </w:tcPr>
          <w:p>
            <w:pPr>
              <w:widowControl/>
              <w:spacing w:line="25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海关特殊监管区域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11</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开展“互联网＋网上稽核查”改革</w:t>
            </w:r>
          </w:p>
        </w:tc>
        <w:tc>
          <w:tcPr>
            <w:tcW w:w="5940" w:type="dxa"/>
            <w:noWrap w:val="0"/>
            <w:tcMar>
              <w:top w:w="15" w:type="dxa"/>
              <w:left w:w="15" w:type="dxa"/>
              <w:right w:w="15" w:type="dxa"/>
            </w:tcMar>
            <w:vAlign w:val="center"/>
          </w:tcPr>
          <w:p>
            <w:pPr>
              <w:widowControl/>
              <w:spacing w:line="256"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通过在生产型企业嵌入客户端，或仓储企业开放数据库、数据接口对接等方式，实时抓取企业资源计划系统（ERP系统）或仓库管理系统（WMS系统）原始数据，获取企业数据、海关动态数据、政府及公共管理数据、第三方数据等四部分数据源；根据企业特点，总结出监控指标，设立监管阈值，对超出阈值的异常数据即时预警，根据预警监测提示的情况，采取分类处置；同时运用互联网技术和手段，把实地下厂稽核查转变为在网上远程进行，减少实地稽核查对企业生产经营的影响，从而实现“多手段、少手续”的隐形监管和“低干预、高效能”的精准监管。</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深圳海关</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12</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签发休闲旅游船舶驾驶证电子证书</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该电子证书采用国家电子证照相关技术标准，通过加盖电子印章，自动生成电子文书编码，将证书和监管信息全面融合在电子证书中，实现了证书二维码一键查询和官网核查的“双核”功能，同时还集成了监管部门对休闲旅游船舶驾驶人员现场监管情况的写入、查询功能。</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深圳海事局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13</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打造数字化</w:t>
            </w:r>
            <w:r>
              <w:rPr>
                <w:rFonts w:hint="eastAsia" w:ascii="宋体" w:hAnsi="宋体" w:cs="仿宋_GB2312"/>
                <w:spacing w:val="-8"/>
                <w:szCs w:val="21"/>
                <w:lang w:bidi="ar"/>
              </w:rPr>
              <w:t>通关系统</w:t>
            </w:r>
            <w:r>
              <w:rPr>
                <w:rFonts w:hint="eastAsia" w:ascii="宋体" w:hAnsi="宋体" w:cs="仿宋_GB2312"/>
                <w:spacing w:val="-26"/>
                <w:szCs w:val="21"/>
                <w:lang w:bidi="ar"/>
              </w:rPr>
              <w:t>“</w:t>
            </w:r>
            <w:r>
              <w:rPr>
                <w:rFonts w:hint="eastAsia" w:ascii="宋体" w:hAnsi="宋体" w:cs="仿宋_GB2312"/>
                <w:spacing w:val="-8"/>
                <w:szCs w:val="21"/>
                <w:lang w:bidi="ar"/>
              </w:rPr>
              <w:t>关</w:t>
            </w:r>
            <w:r>
              <w:rPr>
                <w:rFonts w:hint="eastAsia" w:ascii="宋体" w:hAnsi="宋体" w:cs="仿宋_GB2312"/>
                <w:szCs w:val="21"/>
                <w:lang w:bidi="ar"/>
              </w:rPr>
              <w:t>务SaaS平台”</w:t>
            </w:r>
          </w:p>
        </w:tc>
        <w:tc>
          <w:tcPr>
            <w:tcW w:w="5940" w:type="dxa"/>
            <w:noWrap w:val="0"/>
            <w:tcMar>
              <w:top w:w="15" w:type="dxa"/>
              <w:left w:w="15" w:type="dxa"/>
              <w:right w:w="15" w:type="dxa"/>
            </w:tcMar>
            <w:vAlign w:val="center"/>
          </w:tcPr>
          <w:p>
            <w:pPr>
              <w:widowControl/>
              <w:spacing w:line="25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利用AI智能识别技术，将传统的人工输单模式，升级为系统AI识别自动完成输单和单证制作，提高了通关申报效率；同时，“关务SaaS平台”连接海关系统、码头系统，能够完成码头信息的获取，报关信息上报到海关系统，整个通关链条的信息可以高效传递，做到全流程状态可视和异常预警，构成数字化关务系统。</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外贸企业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14</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建立数智化外贸履约服务体系</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依托智能算法及大数据，建立数智化外贸履约服务体系。一是提供智能在线服务，通过AI智能服务工具实现多方实时协同，即时交互、问题即时解决。二是提供无忧服务，梳理异常问题解决流程，提供标准化解决方案。三是提供主动服务，通过大数据及算法技术，预测外贸交易履约链路中的异常情况，主动排查原因，提升交易顺畅度。四是提供即时评价服务，通过大数据精准识别目标客户，邀请客户即时评价服务。</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外贸企业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15</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推出外贸商家退税融资产品</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推出外贸商家退税融资产品，基于订单以及真实的通关、外</w:t>
            </w:r>
            <w:r>
              <w:rPr>
                <w:rFonts w:hint="eastAsia" w:ascii="宋体" w:hAnsi="宋体" w:cs="仿宋_GB2312"/>
                <w:spacing w:val="-3"/>
                <w:szCs w:val="21"/>
                <w:lang w:bidi="ar"/>
              </w:rPr>
              <w:t>汇、退税的数据，为使用跨境供应链出口代理服务的商家，按单提供退税融资，最长融资周期90天，退税到账后需要即刻还款，</w:t>
            </w:r>
            <w:r>
              <w:rPr>
                <w:rFonts w:hint="eastAsia" w:ascii="宋体" w:hAnsi="宋体" w:cs="仿宋_GB2312"/>
                <w:szCs w:val="21"/>
                <w:lang w:bidi="ar"/>
              </w:rPr>
              <w:t>并在下单至融资过程中，提供财税专业知识的辅导及申报服</w:t>
            </w:r>
            <w:r>
              <w:rPr>
                <w:rFonts w:hint="eastAsia" w:ascii="宋体" w:hAnsi="宋体" w:cs="仿宋_GB2312"/>
                <w:spacing w:val="-2"/>
                <w:szCs w:val="21"/>
                <w:lang w:bidi="ar"/>
              </w:rPr>
              <w:t>务，在缓解商家资金压力的同时，为商家提供合规的财税服务。</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外贸企业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bl>
    <w:p>
      <w:pPr>
        <w:spacing w:line="240" w:lineRule="exact"/>
        <w:rPr>
          <w:rFonts w:hint="eastAsia"/>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
        <w:gridCol w:w="1174"/>
        <w:gridCol w:w="5545"/>
        <w:gridCol w:w="73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377"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序号</w:t>
            </w:r>
          </w:p>
        </w:tc>
        <w:tc>
          <w:tcPr>
            <w:tcW w:w="1258"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试点事项</w:t>
            </w:r>
          </w:p>
        </w:tc>
        <w:tc>
          <w:tcPr>
            <w:tcW w:w="5940"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实施内容</w:t>
            </w:r>
          </w:p>
        </w:tc>
        <w:tc>
          <w:tcPr>
            <w:tcW w:w="784"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kern w:val="0"/>
                <w:szCs w:val="21"/>
                <w:lang w:bidi="ar"/>
              </w:rPr>
            </w:pPr>
            <w:r>
              <w:rPr>
                <w:rFonts w:hint="eastAsia" w:ascii="黑体" w:hAnsi="宋体" w:eastAsia="黑体" w:cs="仿宋_GB2312"/>
                <w:kern w:val="0"/>
                <w:szCs w:val="21"/>
                <w:lang w:bidi="ar"/>
              </w:rPr>
              <w:t>牵头</w:t>
            </w:r>
          </w:p>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单位</w:t>
            </w:r>
          </w:p>
        </w:tc>
        <w:tc>
          <w:tcPr>
            <w:tcW w:w="571"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推广范围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30" w:type="dxa"/>
            <w:gridSpan w:val="5"/>
            <w:noWrap w:val="0"/>
            <w:tcMar>
              <w:top w:w="15" w:type="dxa"/>
              <w:left w:w="15" w:type="dxa"/>
              <w:right w:w="15" w:type="dxa"/>
            </w:tcMar>
            <w:vAlign w:val="center"/>
          </w:tcPr>
          <w:p>
            <w:pPr>
              <w:widowControl/>
              <w:spacing w:line="260" w:lineRule="exact"/>
              <w:ind w:left="42" w:leftChars="20" w:right="42" w:rightChars="20"/>
              <w:textAlignment w:val="center"/>
              <w:rPr>
                <w:rFonts w:hint="eastAsia" w:ascii="黑体" w:hAnsi="宋体" w:eastAsia="黑体" w:cs="仿宋_GB2312"/>
                <w:szCs w:val="21"/>
                <w:lang w:bidi="ar"/>
              </w:rPr>
            </w:pPr>
            <w:r>
              <w:rPr>
                <w:rFonts w:hint="eastAsia" w:ascii="黑体" w:hAnsi="宋体" w:eastAsia="黑体" w:cs="仿宋_GB2312"/>
                <w:szCs w:val="21"/>
                <w:lang w:bidi="ar"/>
              </w:rPr>
              <w:t>三、金融开放创新领域（17项）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16</w:t>
            </w:r>
          </w:p>
        </w:tc>
        <w:tc>
          <w:tcPr>
            <w:tcW w:w="1258"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推行“三个允许、两个放宽、一个下放”外汇管理改革政策</w:t>
            </w:r>
          </w:p>
        </w:tc>
        <w:tc>
          <w:tcPr>
            <w:tcW w:w="5940"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外汇管理改革政策主要体现在“三个允许、两个放宽、一个下放”，即允许区内实施资本项目外汇收入支付便利化试点，允许区内普通外商投资企业以资本金开展境内股权投资，允许区内已确定选择“投注差”模式借用外债的企业，调整为跨境融资宏观审慎管理模式；放宽区内企业境内直接投资外汇登记区域限制，放宽区内企业跨境融资签约币种、提款币种、偿还币种一致性要求，只要求提款和偿还币种一致；区内企业外债注销登记下放银行办理。</w:t>
            </w:r>
          </w:p>
        </w:tc>
        <w:tc>
          <w:tcPr>
            <w:tcW w:w="784"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国家外汇管理局深圳市分局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17</w:t>
            </w:r>
          </w:p>
        </w:tc>
        <w:tc>
          <w:tcPr>
            <w:tcW w:w="1258"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推出供应链资产评级体系</w:t>
            </w:r>
          </w:p>
        </w:tc>
        <w:tc>
          <w:tcPr>
            <w:tcW w:w="5940"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基于资产评价维度的供应链资产评级体系，细分为“主体长期评级、短期流动性评价、交易对手评价、交易历史评价、操作风险评价、增信缓释评价”六个模块，覆盖供应链金融四大业务模式：买方模式、卖方模式、控货模式、其他模式，将各类业务模式下的“商流、物流、信息流、资金流、增值流”和历史履约情况等信息应用于供应链资产评级，并采用可视化的六维雷达图将评级结果展示出来。该体系通过对验真的资产进行风险评价，更利于投资者进行选择。</w:t>
            </w:r>
          </w:p>
        </w:tc>
        <w:tc>
          <w:tcPr>
            <w:tcW w:w="784"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18</w:t>
            </w:r>
          </w:p>
        </w:tc>
        <w:tc>
          <w:tcPr>
            <w:tcW w:w="1258"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打造“信用惠企惠民”信用产品体系</w:t>
            </w:r>
          </w:p>
        </w:tc>
        <w:tc>
          <w:tcPr>
            <w:tcW w:w="5940"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依托“守信激励创新产品与服务”联盟（“信易＋”联盟），基于企业信用大数据，推出创新信用产品与服务。其中“信易贷”产品通过与商业银行合作，利用企业信用大数据，为区内企业提供主动授信，无需抵押物、审批时间短、额度可覆盖一般性经营开支。</w:t>
            </w:r>
          </w:p>
        </w:tc>
        <w:tc>
          <w:tcPr>
            <w:tcW w:w="784"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市市场监管局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19</w:t>
            </w:r>
          </w:p>
        </w:tc>
        <w:tc>
          <w:tcPr>
            <w:tcW w:w="1258"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推出跨国公司跨境资金集中运营管理业务</w:t>
            </w:r>
          </w:p>
        </w:tc>
        <w:tc>
          <w:tcPr>
            <w:tcW w:w="5940"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在境内设立资金运作分中心，并以该分中心实体作为主办企业建立跨境资金池，与香港母公司的资金管理平台对接，打通集团境内成员单位与境外的资金通道，实现集团全球资金管理；同时简化资本项目业务手续，主办企业可以办理一次性外债或境外放款额度集中登记，之后可由主办企业根据实际需求在额度内自由调拨；另外，通过跨境资金池经常项目结算功能，集团境内成员单位可参加经常项目资金集中收付和轧差净额结算业务，提升集团跨境资金收付质效。</w:t>
            </w:r>
          </w:p>
        </w:tc>
        <w:tc>
          <w:tcPr>
            <w:tcW w:w="784"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20</w:t>
            </w:r>
          </w:p>
        </w:tc>
        <w:tc>
          <w:tcPr>
            <w:tcW w:w="1258"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打造“供应链金融＋区</w:t>
            </w:r>
            <w:r>
              <w:rPr>
                <w:rFonts w:hint="eastAsia" w:ascii="宋体" w:hAnsi="宋体" w:cs="仿宋_GB2312"/>
                <w:spacing w:val="-2"/>
                <w:szCs w:val="21"/>
                <w:lang w:bidi="ar"/>
              </w:rPr>
              <w:t>块链＋ABS”</w:t>
            </w:r>
            <w:r>
              <w:rPr>
                <w:rFonts w:hint="eastAsia" w:ascii="宋体" w:hAnsi="宋体" w:cs="仿宋_GB2312"/>
                <w:szCs w:val="21"/>
                <w:lang w:bidi="ar"/>
              </w:rPr>
              <w:t>平台</w:t>
            </w:r>
          </w:p>
        </w:tc>
        <w:tc>
          <w:tcPr>
            <w:tcW w:w="5940"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结合区块链技术、财付通支付、资产线上获取审核系统、微信小程序、腾讯ABS平台等金融科技能力，建立全线上化操作的供应链金融开放平台。在资产端，利用区块链数据防篡改、交易可验证的功能，打造具备远程获客、债权可拆、自动风控、秒级放款、闭环可视以及系统定制化等特色服务的资产获取模块，实现债权通过平台拆分、向长尾供应商流转以及变现。在资金端，打造多渠道资金标准化对接模块，引入多渠道资金，对接平台类标准化资产，实现全平台资金流与信息流闭环。同步打造ABS平台模块，将资产导入、产品设计、资产池管理、机构审核、存续期管理与到期管理全流程线上化、透明化、可追溯，通过各方协同线上化留痕操作，帮助监管机构穿透底层资产、实现透明化管理，也帮助中介机构大幅提升操作效率，降低运营与人工成本。</w:t>
            </w:r>
          </w:p>
        </w:tc>
        <w:tc>
          <w:tcPr>
            <w:tcW w:w="784"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bl>
    <w:p>
      <w:pPr>
        <w:spacing w:line="240" w:lineRule="exact"/>
        <w:rPr>
          <w:rFonts w:hint="eastAsia"/>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
        <w:gridCol w:w="1174"/>
        <w:gridCol w:w="5545"/>
        <w:gridCol w:w="73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377"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序号</w:t>
            </w:r>
          </w:p>
        </w:tc>
        <w:tc>
          <w:tcPr>
            <w:tcW w:w="1258"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试点事项</w:t>
            </w:r>
          </w:p>
        </w:tc>
        <w:tc>
          <w:tcPr>
            <w:tcW w:w="5940"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实施内容</w:t>
            </w:r>
          </w:p>
        </w:tc>
        <w:tc>
          <w:tcPr>
            <w:tcW w:w="784"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kern w:val="0"/>
                <w:szCs w:val="21"/>
                <w:lang w:bidi="ar"/>
              </w:rPr>
            </w:pPr>
            <w:r>
              <w:rPr>
                <w:rFonts w:hint="eastAsia" w:ascii="黑体" w:hAnsi="宋体" w:eastAsia="黑体" w:cs="仿宋_GB2312"/>
                <w:kern w:val="0"/>
                <w:szCs w:val="21"/>
                <w:lang w:bidi="ar"/>
              </w:rPr>
              <w:t>牵头</w:t>
            </w:r>
          </w:p>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单位</w:t>
            </w:r>
          </w:p>
        </w:tc>
        <w:tc>
          <w:tcPr>
            <w:tcW w:w="571"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推广范围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21</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打造动产质押人工智能监管平台</w:t>
            </w:r>
          </w:p>
        </w:tc>
        <w:tc>
          <w:tcPr>
            <w:tcW w:w="5940" w:type="dxa"/>
            <w:noWrap w:val="0"/>
            <w:tcMar>
              <w:top w:w="15" w:type="dxa"/>
              <w:left w:w="15" w:type="dxa"/>
              <w:right w:w="15" w:type="dxa"/>
            </w:tcMar>
            <w:vAlign w:val="center"/>
          </w:tcPr>
          <w:p>
            <w:pPr>
              <w:widowControl/>
              <w:spacing w:line="258"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银行聚焦业务场景，研发AI仓库监管系统，利用人工智能、物</w:t>
            </w:r>
            <w:r>
              <w:rPr>
                <w:rFonts w:hint="eastAsia" w:ascii="宋体" w:hAnsi="宋体" w:cs="仿宋_GB2312"/>
                <w:spacing w:val="-3"/>
                <w:szCs w:val="21"/>
                <w:lang w:bidi="ar"/>
              </w:rPr>
              <w:t>联网等技术实现动产质押融资业务中质押货物出入库自动点货、</w:t>
            </w:r>
            <w:r>
              <w:rPr>
                <w:rFonts w:hint="eastAsia" w:ascii="宋体" w:hAnsi="宋体" w:cs="仿宋_GB2312"/>
                <w:szCs w:val="21"/>
                <w:lang w:bidi="ar"/>
              </w:rPr>
              <w:t>在库自动盘存、异常行为监控及预警、关键视频信息留证，将实物流、物流、商流、资金流、信息流合一，提升动产质押融资业务风控能力，更智能、更高效、更可靠地实现存货管理。</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22</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打造“湾区</w:t>
            </w:r>
            <w:r>
              <w:rPr>
                <w:rFonts w:hint="eastAsia" w:ascii="宋体" w:hAnsi="宋体" w:cs="仿宋_GB2312"/>
                <w:spacing w:val="-6"/>
                <w:szCs w:val="21"/>
                <w:lang w:bidi="ar"/>
              </w:rPr>
              <w:t>跨境托管＋</w:t>
            </w:r>
            <w:r>
              <w:rPr>
                <w:rFonts w:hint="eastAsia" w:ascii="宋体" w:hAnsi="宋体" w:cs="仿宋_GB2312"/>
                <w:spacing w:val="-28"/>
                <w:szCs w:val="21"/>
                <w:lang w:bidi="ar"/>
              </w:rPr>
              <w:t>”</w:t>
            </w:r>
            <w:r>
              <w:rPr>
                <w:rFonts w:hint="eastAsia" w:ascii="宋体" w:hAnsi="宋体" w:cs="仿宋_GB2312"/>
                <w:szCs w:val="21"/>
                <w:lang w:bidi="ar"/>
              </w:rPr>
              <w:t>综合服务方案</w:t>
            </w:r>
          </w:p>
        </w:tc>
        <w:tc>
          <w:tcPr>
            <w:tcW w:w="5940" w:type="dxa"/>
            <w:noWrap w:val="0"/>
            <w:tcMar>
              <w:top w:w="15" w:type="dxa"/>
              <w:left w:w="15" w:type="dxa"/>
              <w:right w:w="15" w:type="dxa"/>
            </w:tcMar>
            <w:vAlign w:val="center"/>
          </w:tcPr>
          <w:p>
            <w:pPr>
              <w:widowControl/>
              <w:spacing w:line="258"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湾区跨境托管＋”接受跨境股权投资基金管理人及基金委托，安全保管委托人资产、行使资金跨境清算、会计核算、外汇交易、估值及监督职责；组合式嵌入ESCROW资金监管业务，满足委托人在专项资金运用、股权转让、收购重组等方面的跨境资金收支活动；为委托人提供政策咨询与跨境代办工商注册等增值服务。</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23</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发布证券市场专利股票指数</w:t>
            </w:r>
          </w:p>
        </w:tc>
        <w:tc>
          <w:tcPr>
            <w:tcW w:w="5940" w:type="dxa"/>
            <w:noWrap w:val="0"/>
            <w:tcMar>
              <w:top w:w="15" w:type="dxa"/>
              <w:left w:w="15" w:type="dxa"/>
              <w:right w:w="15" w:type="dxa"/>
            </w:tcMar>
            <w:vAlign w:val="center"/>
          </w:tcPr>
          <w:p>
            <w:pPr>
              <w:widowControl/>
              <w:spacing w:line="258"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为了更符合证券投资市场的需求，基于自有底层数据与算法技术，连结专利深加工指标与股票收益，打造了专利领先指数，提供基于专利深加工指标的SaaS服务，用户可以在专利领先指数的基础上定制所有上市企业的专利指标与专利价值评分，降低金融投资机构应用专利数据的技术壁垒和成本。</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24</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建设企业信用风险传导预警平台</w:t>
            </w:r>
          </w:p>
        </w:tc>
        <w:tc>
          <w:tcPr>
            <w:tcW w:w="5940" w:type="dxa"/>
            <w:noWrap w:val="0"/>
            <w:tcMar>
              <w:top w:w="15" w:type="dxa"/>
              <w:left w:w="15" w:type="dxa"/>
              <w:right w:w="15" w:type="dxa"/>
            </w:tcMar>
            <w:vAlign w:val="center"/>
          </w:tcPr>
          <w:p>
            <w:pPr>
              <w:widowControl/>
              <w:spacing w:line="258"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征信公司自主研发企业信用风险传导预警平台，利用多源数据整合技术，对来自不同渠道的海量（TB级）多维数据，包括结构化的工商、财务、经营以及半结构化/非结构化的新闻、公告、司法、诚信等信息进行高性能的清洗、关联和归一化处理，结合知识图谱与神经网络算法，建立风险识别、认定、传导及预警模型，助力金融机构完善数据治理架构，健全信用评估体系，提升精细化、动态化信用风险管理水平。</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25</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推出银行间跨境再保理融资业务</w:t>
            </w:r>
          </w:p>
        </w:tc>
        <w:tc>
          <w:tcPr>
            <w:tcW w:w="5940" w:type="dxa"/>
            <w:noWrap w:val="0"/>
            <w:tcMar>
              <w:top w:w="15" w:type="dxa"/>
              <w:left w:w="15" w:type="dxa"/>
              <w:right w:w="15" w:type="dxa"/>
            </w:tcMar>
            <w:vAlign w:val="center"/>
          </w:tcPr>
          <w:p>
            <w:pPr>
              <w:widowControl/>
              <w:spacing w:line="258"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银行将境内分行系统内未到期的境内保理融资资产对境外的受让人（指境外银行或境内银行的海外分、子行）进行转让，境外受让人对该境内分行续作无追索权再保理融资，转让对价及相应资金收付以跨境人民币形式在境内银行进行跨境结算。</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26</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建设AI语音机器人中台</w:t>
            </w:r>
          </w:p>
        </w:tc>
        <w:tc>
          <w:tcPr>
            <w:tcW w:w="5940" w:type="dxa"/>
            <w:noWrap w:val="0"/>
            <w:tcMar>
              <w:top w:w="15" w:type="dxa"/>
              <w:left w:w="15" w:type="dxa"/>
              <w:right w:w="15" w:type="dxa"/>
            </w:tcMar>
            <w:vAlign w:val="center"/>
          </w:tcPr>
          <w:p>
            <w:pPr>
              <w:widowControl/>
              <w:spacing w:line="258"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搭建AI语音机器人业务中台，一是自研AI引擎，整合共享数据标注资源进行AI引擎训练调优，实现引擎训练成果能力跨场景复用共享，缩短智能语音机器人搭建训练运营周期。二是语音机器人中台遵循“低耦合，高内聚”的中台建设思路，搭建银行中控平台、通话职能平台及底层AI引擎三层架构体系。三是语音机器人中台建立场景价值评估准入标准，降低各业务前台场景语音机器人设计、调优运营的专业技能及资源投入门槛，推动语音机器人场景的应用推广和价值产出。</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27</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建设图谱关联网络智能风控平台</w:t>
            </w:r>
          </w:p>
        </w:tc>
        <w:tc>
          <w:tcPr>
            <w:tcW w:w="5940" w:type="dxa"/>
            <w:noWrap w:val="0"/>
            <w:tcMar>
              <w:top w:w="15" w:type="dxa"/>
              <w:left w:w="15" w:type="dxa"/>
              <w:right w:w="15" w:type="dxa"/>
            </w:tcMar>
            <w:vAlign w:val="center"/>
          </w:tcPr>
          <w:p>
            <w:pPr>
              <w:widowControl/>
              <w:spacing w:line="258"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消费金融公司积极探索和应用大数据、人工智能、云计算等前沿工具，构建风险防控体系。一是自研图数据库关键技术，搭建企业级图谱风控平台，实现十亿级海量图数据的分布式存储和计算。二是利用机器学习，根据图数据关联结构下，不同关联属性、路径的欺诈概率差异，结合客户风险标签，首创空间马尔科夫链图评分模型，显著提高综合关联欺诈风险拦截能力。三是深度挖掘客户图谱关联特征与风险之间的关系，对客户赋予不同类型的风险标签，通过专家规则和图评分模型交叉组合应用于实时风险防控。</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bl>
    <w:p>
      <w:pPr>
        <w:spacing w:line="240" w:lineRule="exact"/>
        <w:rPr>
          <w:rFonts w:hint="eastAsia"/>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
        <w:gridCol w:w="1174"/>
        <w:gridCol w:w="5545"/>
        <w:gridCol w:w="73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377"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序号</w:t>
            </w:r>
          </w:p>
        </w:tc>
        <w:tc>
          <w:tcPr>
            <w:tcW w:w="1258"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试点事项</w:t>
            </w:r>
          </w:p>
        </w:tc>
        <w:tc>
          <w:tcPr>
            <w:tcW w:w="5940"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实施内容</w:t>
            </w:r>
          </w:p>
        </w:tc>
        <w:tc>
          <w:tcPr>
            <w:tcW w:w="784"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kern w:val="0"/>
                <w:szCs w:val="21"/>
                <w:lang w:bidi="ar"/>
              </w:rPr>
            </w:pPr>
            <w:r>
              <w:rPr>
                <w:rFonts w:hint="eastAsia" w:ascii="黑体" w:hAnsi="宋体" w:eastAsia="黑体" w:cs="仿宋_GB2312"/>
                <w:kern w:val="0"/>
                <w:szCs w:val="21"/>
                <w:lang w:bidi="ar"/>
              </w:rPr>
              <w:t>牵头</w:t>
            </w:r>
          </w:p>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单位</w:t>
            </w:r>
          </w:p>
        </w:tc>
        <w:tc>
          <w:tcPr>
            <w:tcW w:w="571"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推广范围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28</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推出现货电子厂库仓单在线融资产品</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银行与交易所密切合作，开发现货电子厂库仓单在线融资产品，一是与交易中心系统实时对接，在融资放款时全面核实基础交易各环节真实性；二是全链条监控信贷资金流向，对大宗商品客户的融资需求实时响应，实现信贷决策和融资放款无缝对接；三是通过QME系统获得所有担保品的市场公允价格并实时盯市，全方位降低风险管理成本；四是提供分批还款赎货功能，允许企业根据自身经营需求部分还款赎货，全面契合企业经营模式。</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29</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推出智能理赔服务平台</w:t>
            </w:r>
          </w:p>
        </w:tc>
        <w:tc>
          <w:tcPr>
            <w:tcW w:w="5940"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保险科技公司基于金融云服务，自主研发智能理赔服务平台，主要包括知识库平台、医疗大数据调阅平台、医疗大数据调查平台和商保大数据平台四个保险业务大数据子平台，以及基于保险行业经验的自动核赔引擎。平台可以融合保险业务场景数</w:t>
            </w:r>
            <w:r>
              <w:rPr>
                <w:rFonts w:hint="eastAsia" w:ascii="宋体" w:hAnsi="宋体" w:cs="仿宋_GB2312"/>
                <w:spacing w:val="-3"/>
                <w:szCs w:val="21"/>
                <w:lang w:bidi="ar"/>
              </w:rPr>
              <w:t>据、用户信息数据、医疗佐证数据、社保目录数据、调查公司调</w:t>
            </w:r>
            <w:r>
              <w:rPr>
                <w:rFonts w:hint="eastAsia" w:ascii="宋体" w:hAnsi="宋体" w:cs="仿宋_GB2312"/>
                <w:spacing w:val="-2"/>
                <w:szCs w:val="21"/>
                <w:lang w:bidi="ar"/>
              </w:rPr>
              <w:t>查结果等多源数据，提供基于互联网场景高效的智能理赔服务。</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30</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推出政府投资代建项目工程质量潜在缺陷保险</w:t>
            </w:r>
          </w:p>
        </w:tc>
        <w:tc>
          <w:tcPr>
            <w:tcW w:w="5940"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在政府投资代建项目工程中创新引入工程质量潜在缺陷保险（IDI）机制，针对设计缺陷、原材料缺陷和施工缺陷等风险点，采用事前风险管控和事后风险补偿相结合的方式，有效转移部分政府承担的维修责任和质量风险。</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31</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打造供应链资产鉴真服务云平台</w:t>
            </w:r>
          </w:p>
        </w:tc>
        <w:tc>
          <w:tcPr>
            <w:tcW w:w="5940"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打造了供应链资产鉴真服务云平台，把云计算、AI、区块链应用到资产验真中，实现智能审单、智能预警；通过OpenAPI服务，聚合各类政务平台、数据平台、市场参与主体，夯实供应链金融行业公共基础设施；应用双向智慧撮合，精准匹配资产方与资金方，撮合双方高效快速达成交易。</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32</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推出高新投</w:t>
            </w:r>
            <w:r>
              <w:rPr>
                <w:rFonts w:hint="eastAsia" w:ascii="宋体" w:hAnsi="宋体" w:cs="仿宋_GB2312"/>
                <w:spacing w:val="-6"/>
                <w:szCs w:val="21"/>
                <w:lang w:bidi="ar"/>
              </w:rPr>
              <w:t>知识产权ABS</w:t>
            </w:r>
            <w:r>
              <w:rPr>
                <w:rFonts w:hint="eastAsia" w:ascii="宋体" w:hAnsi="宋体" w:cs="仿宋_GB2312"/>
                <w:szCs w:val="21"/>
                <w:lang w:bidi="ar"/>
              </w:rPr>
              <w:t>项目</w:t>
            </w:r>
          </w:p>
        </w:tc>
        <w:tc>
          <w:tcPr>
            <w:tcW w:w="5940" w:type="dxa"/>
            <w:noWrap w:val="0"/>
            <w:tcMar>
              <w:top w:w="15" w:type="dxa"/>
              <w:left w:w="15" w:type="dxa"/>
              <w:right w:w="15" w:type="dxa"/>
            </w:tcMar>
            <w:vAlign w:val="center"/>
          </w:tcPr>
          <w:p>
            <w:pPr>
              <w:widowControl/>
              <w:spacing w:line="264"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高新投知识产权ABS项目，由证券公司担任计划管理人和销售机构、投资公司担任差额支付人、小额贷款公司担任原始权益人和资产服务机构，通过设置差额支付机制，在前端筛选优质企业入池，在控制风险的条件下，构造知识产权质押贷款债权证券化的模式，实现低成本资金对入池知识产权企业高效投放。</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金融企业</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30" w:type="dxa"/>
            <w:gridSpan w:val="5"/>
            <w:noWrap w:val="0"/>
            <w:tcMar>
              <w:top w:w="15" w:type="dxa"/>
              <w:left w:w="15" w:type="dxa"/>
              <w:right w:w="15" w:type="dxa"/>
            </w:tcMar>
            <w:vAlign w:val="center"/>
          </w:tcPr>
          <w:p>
            <w:pPr>
              <w:widowControl/>
              <w:spacing w:line="260" w:lineRule="exact"/>
              <w:ind w:left="42" w:leftChars="20" w:right="42" w:rightChars="20"/>
              <w:textAlignment w:val="center"/>
              <w:rPr>
                <w:rFonts w:hint="eastAsia" w:ascii="黑体" w:hAnsi="宋体" w:eastAsia="黑体" w:cs="仿宋_GB2312"/>
                <w:szCs w:val="21"/>
              </w:rPr>
            </w:pPr>
            <w:r>
              <w:rPr>
                <w:rFonts w:hint="eastAsia" w:ascii="黑体" w:hAnsi="宋体" w:eastAsia="黑体" w:cs="仿宋_GB2312"/>
                <w:szCs w:val="21"/>
                <w:lang w:bidi="ar"/>
              </w:rPr>
              <w:t>四、事中事后监管领域（3项）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33</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强化税收内控机制建设防范执法风险</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通过强化组织保障、打造学习品牌、落实制度体系等营造良好的内控环境，建立起公平有效的内控考评机制，并积极推进内控信息化建设，以金税三期工程税收业务软件为重点，在征收、管理、稽查、减免税、出口退税等重要环节预设内控节点，对应办事项及时提醒，对错办事项及时干预或阻断，初步实现了由“人防”向“机控”、由“分散”向“集约”、由“现场检查”向“远程分析”的变革式发展。</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lang w:bidi="ar"/>
              </w:rPr>
            </w:pPr>
            <w:r>
              <w:rPr>
                <w:rFonts w:hint="eastAsia" w:ascii="宋体" w:hAnsi="宋体" w:cs="仿宋_GB2312"/>
                <w:szCs w:val="21"/>
                <w:lang w:bidi="ar"/>
              </w:rPr>
              <w:t>深圳市</w:t>
            </w:r>
          </w:p>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税务局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34</w:t>
            </w:r>
          </w:p>
        </w:tc>
        <w:tc>
          <w:tcPr>
            <w:tcW w:w="1258"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建立全过程风险预警平台</w:t>
            </w:r>
          </w:p>
        </w:tc>
        <w:tc>
          <w:tcPr>
            <w:tcW w:w="5940"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立风险预警系统，采用以时间轴的方式面向企业过去（失信及风险信息监测）、现在（舆情信息监测）、未来（不良行为预测）三个层面，构建了“过去－现在－未来”企业全生命周期信用预警体系，通过大数据分析，多维度实时监控企业风险，并结合企业历史不良行为以及企业关联图谱，依据机器学习计算出企业未来不良行为概率值。</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lang w:bidi="ar"/>
              </w:rPr>
            </w:pPr>
            <w:r>
              <w:rPr>
                <w:rFonts w:hint="eastAsia" w:ascii="宋体" w:hAnsi="宋体" w:cs="仿宋_GB2312"/>
                <w:szCs w:val="21"/>
                <w:lang w:bidi="ar"/>
              </w:rPr>
              <w:t>市市场</w:t>
            </w:r>
          </w:p>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监管局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bl>
    <w:p>
      <w:pPr>
        <w:spacing w:line="240" w:lineRule="exact"/>
        <w:rPr>
          <w:rFonts w:hint="eastAsia"/>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
        <w:gridCol w:w="1174"/>
        <w:gridCol w:w="5545"/>
        <w:gridCol w:w="73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377"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序号</w:t>
            </w:r>
          </w:p>
        </w:tc>
        <w:tc>
          <w:tcPr>
            <w:tcW w:w="1258"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试点事项</w:t>
            </w:r>
          </w:p>
        </w:tc>
        <w:tc>
          <w:tcPr>
            <w:tcW w:w="5940"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实施内容</w:t>
            </w:r>
          </w:p>
        </w:tc>
        <w:tc>
          <w:tcPr>
            <w:tcW w:w="784"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kern w:val="0"/>
                <w:szCs w:val="21"/>
                <w:lang w:bidi="ar"/>
              </w:rPr>
            </w:pPr>
            <w:r>
              <w:rPr>
                <w:rFonts w:hint="eastAsia" w:ascii="黑体" w:hAnsi="宋体" w:eastAsia="黑体" w:cs="仿宋_GB2312"/>
                <w:kern w:val="0"/>
                <w:szCs w:val="21"/>
                <w:lang w:bidi="ar"/>
              </w:rPr>
              <w:t>牵头</w:t>
            </w:r>
          </w:p>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单位</w:t>
            </w:r>
          </w:p>
        </w:tc>
        <w:tc>
          <w:tcPr>
            <w:tcW w:w="571"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推广范围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2"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35</w:t>
            </w:r>
          </w:p>
        </w:tc>
        <w:tc>
          <w:tcPr>
            <w:tcW w:w="1258"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推动“企业信用画像”应用于信用分类监管</w:t>
            </w:r>
          </w:p>
        </w:tc>
        <w:tc>
          <w:tcPr>
            <w:tcW w:w="5940"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汇集政府部门与市场机构企业信用数据，利用大数据建模，对企业进行信用风险等级分类信用画像，并在政府内部行政监管和服务中，按照企业信用等级高低进行差异化监管。</w:t>
            </w:r>
          </w:p>
        </w:tc>
        <w:tc>
          <w:tcPr>
            <w:tcW w:w="784"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lang w:bidi="ar"/>
              </w:rPr>
            </w:pPr>
            <w:r>
              <w:rPr>
                <w:rFonts w:hint="eastAsia" w:ascii="宋体" w:hAnsi="宋体" w:cs="仿宋_GB2312"/>
                <w:szCs w:val="21"/>
                <w:lang w:bidi="ar"/>
              </w:rPr>
              <w:t>市市场</w:t>
            </w:r>
          </w:p>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监管局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30" w:type="dxa"/>
            <w:gridSpan w:val="5"/>
            <w:noWrap w:val="0"/>
            <w:tcMar>
              <w:top w:w="15" w:type="dxa"/>
              <w:left w:w="15" w:type="dxa"/>
              <w:right w:w="15" w:type="dxa"/>
            </w:tcMar>
            <w:vAlign w:val="center"/>
          </w:tcPr>
          <w:p>
            <w:pPr>
              <w:widowControl/>
              <w:spacing w:line="262" w:lineRule="exact"/>
              <w:ind w:left="42" w:leftChars="20" w:right="42" w:rightChars="20"/>
              <w:textAlignment w:val="center"/>
              <w:rPr>
                <w:rFonts w:hint="eastAsia" w:ascii="黑体" w:hAnsi="宋体" w:eastAsia="黑体" w:cs="仿宋_GB2312"/>
                <w:szCs w:val="21"/>
                <w:lang w:bidi="ar"/>
              </w:rPr>
            </w:pPr>
            <w:r>
              <w:rPr>
                <w:rFonts w:hint="eastAsia" w:ascii="黑体" w:hAnsi="宋体" w:eastAsia="黑体" w:cs="仿宋_GB2312"/>
                <w:szCs w:val="21"/>
                <w:lang w:bidi="ar"/>
              </w:rPr>
              <w:t>五、法治创新领域（4项）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2"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36</w:t>
            </w:r>
          </w:p>
        </w:tc>
        <w:tc>
          <w:tcPr>
            <w:tcW w:w="1258"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推出公证遗嘱证</w:t>
            </w:r>
          </w:p>
        </w:tc>
        <w:tc>
          <w:tcPr>
            <w:tcW w:w="5940"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市民除选择按照传统的方式自行领取遗嘱公证书外，可以选择将公证书交给公证处保密保管，取而代之的是领取遗嘱证，遗嘱证只记载遗嘱人身份、订立遗嘱时间、公证书编号等简单信息，不涉及遗嘱具体内容。接触到遗嘱证的人也不会知悉遗嘱内容，只有遗嘱人本人可以随时到公证处查询遗嘱内容，或者遗嘱人指定的人，在遗嘱生效后到公证处查询了解遗嘱情况，并复制或领取遗嘱公证书。</w:t>
            </w:r>
          </w:p>
        </w:tc>
        <w:tc>
          <w:tcPr>
            <w:tcW w:w="784"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市司法局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2"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37</w:t>
            </w:r>
          </w:p>
        </w:tc>
        <w:tc>
          <w:tcPr>
            <w:tcW w:w="1258"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建设“公证云平台”</w:t>
            </w:r>
          </w:p>
        </w:tc>
        <w:tc>
          <w:tcPr>
            <w:tcW w:w="5940"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公证云平台”集实名认证、身份验证、人脸识别、电子签名、可信时间戳等信息技术，实现在线预约、在线受理、在线签约、在线保全、电子存证等信息化服务功能，同时兼具电子证据的取证、存证、固证、出证为一体的综合性电子数据平台，广泛应用于知识产权、公证/律师法律服务行业、行政执法、司法辅助等领域。</w:t>
            </w:r>
          </w:p>
        </w:tc>
        <w:tc>
          <w:tcPr>
            <w:tcW w:w="784"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市司法局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2"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38</w:t>
            </w:r>
          </w:p>
        </w:tc>
        <w:tc>
          <w:tcPr>
            <w:tcW w:w="1258"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开发“公证云会议”小程序</w:t>
            </w:r>
          </w:p>
        </w:tc>
        <w:tc>
          <w:tcPr>
            <w:tcW w:w="5940"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推出“公证云会议”小程序，为企业提供在线会议、在线表决等公证服务。采用“在线签约系统”完成部分公证事务，为公证服务“最多跑一次”提供条件和保障，并在副本受理、展期申请、追加申领遗嘱证、变更公证登记、继承代办申请等部分公证服务上，实现“一次都不跑”。</w:t>
            </w:r>
          </w:p>
        </w:tc>
        <w:tc>
          <w:tcPr>
            <w:tcW w:w="784"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市司法局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2"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39</w:t>
            </w:r>
          </w:p>
        </w:tc>
        <w:tc>
          <w:tcPr>
            <w:tcW w:w="1258"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pacing w:val="-6"/>
                <w:szCs w:val="21"/>
                <w:lang w:bidi="ar"/>
              </w:rPr>
              <w:t>公证服务365天</w:t>
            </w:r>
            <w:r>
              <w:rPr>
                <w:rFonts w:hint="eastAsia" w:ascii="宋体" w:hAnsi="宋体" w:cs="仿宋_GB2312"/>
                <w:spacing w:val="-20"/>
                <w:szCs w:val="21"/>
                <w:lang w:bidi="ar"/>
              </w:rPr>
              <w:t>“</w:t>
            </w:r>
            <w:r>
              <w:rPr>
                <w:rFonts w:hint="eastAsia" w:ascii="宋体" w:hAnsi="宋体" w:cs="仿宋_GB2312"/>
                <w:spacing w:val="-6"/>
                <w:szCs w:val="21"/>
                <w:lang w:bidi="ar"/>
              </w:rPr>
              <w:t>不打烊</w:t>
            </w:r>
            <w:r>
              <w:rPr>
                <w:rFonts w:hint="eastAsia" w:ascii="宋体" w:hAnsi="宋体" w:cs="仿宋_GB2312"/>
                <w:spacing w:val="-20"/>
                <w:szCs w:val="21"/>
                <w:lang w:bidi="ar"/>
              </w:rPr>
              <w:t>”</w:t>
            </w:r>
          </w:p>
        </w:tc>
        <w:tc>
          <w:tcPr>
            <w:tcW w:w="5940"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实行365天全年“不打烊”，即实施中午、双休日及节假日正常服务制，在双休日及节假日（含春节假期等）分别安排工作人员轮班，正常办理各项公证业务，实现“全年无休息，服务零距离”。</w:t>
            </w:r>
          </w:p>
        </w:tc>
        <w:tc>
          <w:tcPr>
            <w:tcW w:w="784"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市司法局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30" w:type="dxa"/>
            <w:gridSpan w:val="5"/>
            <w:noWrap w:val="0"/>
            <w:tcMar>
              <w:top w:w="15" w:type="dxa"/>
              <w:left w:w="15" w:type="dxa"/>
              <w:right w:w="15" w:type="dxa"/>
            </w:tcMar>
            <w:vAlign w:val="center"/>
          </w:tcPr>
          <w:p>
            <w:pPr>
              <w:widowControl/>
              <w:spacing w:line="262" w:lineRule="exact"/>
              <w:ind w:left="42" w:leftChars="20" w:right="42" w:rightChars="20"/>
              <w:textAlignment w:val="center"/>
              <w:rPr>
                <w:rFonts w:hint="eastAsia" w:ascii="黑体" w:hAnsi="宋体" w:eastAsia="黑体" w:cs="仿宋_GB2312"/>
                <w:szCs w:val="21"/>
                <w:lang w:bidi="ar"/>
              </w:rPr>
            </w:pPr>
            <w:r>
              <w:rPr>
                <w:rFonts w:hint="eastAsia" w:ascii="黑体" w:hAnsi="宋体" w:eastAsia="黑体" w:cs="仿宋_GB2312"/>
                <w:szCs w:val="21"/>
                <w:lang w:bidi="ar"/>
              </w:rPr>
              <w:t>六、人才管理改革领域（3项）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2"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40</w:t>
            </w:r>
          </w:p>
        </w:tc>
        <w:tc>
          <w:tcPr>
            <w:tcW w:w="1258"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创设人才类商务备案便利措施</w:t>
            </w:r>
          </w:p>
        </w:tc>
        <w:tc>
          <w:tcPr>
            <w:tcW w:w="5940"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在出入境便利服务措施方面，推动以信用监管为基础的商务签注便利政策，通过依托公共信用平台，完善企业和人才信用数据，科学运用大数据分析手段，围绕企业和人才贡献、行政处罚、不良行为等三个维度，设立企业分类标准，逐步制定企业分类名录，定期开展信息共享和业务交流，并推动对企业实施商务备案分类协同管理。</w:t>
            </w:r>
          </w:p>
        </w:tc>
        <w:tc>
          <w:tcPr>
            <w:tcW w:w="784"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市公安局出入境管理局、市市场监管局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62"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41</w:t>
            </w:r>
          </w:p>
        </w:tc>
        <w:tc>
          <w:tcPr>
            <w:tcW w:w="1258"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对企业和人才实施赴港澳商务签注政策分类管理</w:t>
            </w:r>
          </w:p>
        </w:tc>
        <w:tc>
          <w:tcPr>
            <w:tcW w:w="5940"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依托公共信用平台，以公共信用综合评价结果、行业信用评价结果等为依据，制定以信用评价为核心的分类管理标准。建立以互联互通为基础的行政协同机制，对企业和人员有针对性地实施差别化管理和服务，实现赴港澳商务签注政策资源的合理配置。辅以搭建统一的商务备案管理信息化系统为支撑，实现企业人员“在线申请、只跑一次”服务。同时新增设人才类商务备案制度，对相关人才直接实行商务签注按需申办且不占用企业指标，商务签注有效时限也由1年增加至最长5年并取消年审安排。</w:t>
            </w:r>
          </w:p>
        </w:tc>
        <w:tc>
          <w:tcPr>
            <w:tcW w:w="784" w:type="dxa"/>
            <w:noWrap w:val="0"/>
            <w:tcMar>
              <w:top w:w="15" w:type="dxa"/>
              <w:left w:w="15" w:type="dxa"/>
              <w:right w:w="15" w:type="dxa"/>
            </w:tcMar>
            <w:vAlign w:val="center"/>
          </w:tcPr>
          <w:p>
            <w:pPr>
              <w:widowControl/>
              <w:spacing w:line="262"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市公安局出入境管理局、市市场监管局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bl>
    <w:p>
      <w:pPr>
        <w:spacing w:line="240" w:lineRule="exact"/>
        <w:rPr>
          <w:rFonts w:hint="eastAsia"/>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
        <w:gridCol w:w="1174"/>
        <w:gridCol w:w="5545"/>
        <w:gridCol w:w="73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377"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序号</w:t>
            </w:r>
          </w:p>
        </w:tc>
        <w:tc>
          <w:tcPr>
            <w:tcW w:w="1258"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试点事项</w:t>
            </w:r>
          </w:p>
        </w:tc>
        <w:tc>
          <w:tcPr>
            <w:tcW w:w="5940"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实施内容</w:t>
            </w:r>
          </w:p>
        </w:tc>
        <w:tc>
          <w:tcPr>
            <w:tcW w:w="784"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kern w:val="0"/>
                <w:szCs w:val="21"/>
                <w:lang w:bidi="ar"/>
              </w:rPr>
            </w:pPr>
            <w:r>
              <w:rPr>
                <w:rFonts w:hint="eastAsia" w:ascii="黑体" w:hAnsi="宋体" w:eastAsia="黑体" w:cs="仿宋_GB2312"/>
                <w:kern w:val="0"/>
                <w:szCs w:val="21"/>
                <w:lang w:bidi="ar"/>
              </w:rPr>
              <w:t>牵头</w:t>
            </w:r>
          </w:p>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单位</w:t>
            </w:r>
          </w:p>
        </w:tc>
        <w:tc>
          <w:tcPr>
            <w:tcW w:w="571" w:type="dxa"/>
            <w:noWrap w:val="0"/>
            <w:tcMar>
              <w:top w:w="15" w:type="dxa"/>
              <w:left w:w="15" w:type="dxa"/>
              <w:right w:w="15" w:type="dxa"/>
            </w:tcMar>
            <w:vAlign w:val="center"/>
          </w:tcPr>
          <w:p>
            <w:pPr>
              <w:widowControl/>
              <w:spacing w:line="240" w:lineRule="exact"/>
              <w:ind w:left="42" w:leftChars="20"/>
              <w:jc w:val="center"/>
              <w:textAlignment w:val="center"/>
              <w:rPr>
                <w:rFonts w:hint="eastAsia" w:ascii="黑体" w:hAnsi="宋体" w:eastAsia="黑体" w:cs="仿宋_GB2312"/>
                <w:szCs w:val="21"/>
              </w:rPr>
            </w:pPr>
            <w:r>
              <w:rPr>
                <w:rFonts w:hint="eastAsia" w:ascii="黑体" w:hAnsi="宋体" w:eastAsia="黑体" w:cs="仿宋_GB2312"/>
                <w:kern w:val="0"/>
                <w:szCs w:val="21"/>
                <w:lang w:bidi="ar"/>
              </w:rPr>
              <w:t>推广范围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8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42</w:t>
            </w:r>
          </w:p>
        </w:tc>
        <w:tc>
          <w:tcPr>
            <w:tcW w:w="1258" w:type="dxa"/>
            <w:noWrap w:val="0"/>
            <w:tcMar>
              <w:top w:w="15" w:type="dxa"/>
              <w:left w:w="15" w:type="dxa"/>
              <w:right w:w="15" w:type="dxa"/>
            </w:tcMar>
            <w:vAlign w:val="center"/>
          </w:tcPr>
          <w:p>
            <w:pPr>
              <w:widowControl/>
              <w:spacing w:line="28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创新打造食品药品安全志愿服务模式</w:t>
            </w:r>
          </w:p>
        </w:tc>
        <w:tc>
          <w:tcPr>
            <w:tcW w:w="5940" w:type="dxa"/>
            <w:noWrap w:val="0"/>
            <w:tcMar>
              <w:top w:w="15" w:type="dxa"/>
              <w:left w:w="15" w:type="dxa"/>
              <w:right w:w="15" w:type="dxa"/>
            </w:tcMar>
            <w:vAlign w:val="center"/>
          </w:tcPr>
          <w:p>
            <w:pPr>
              <w:widowControl/>
              <w:spacing w:line="28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组建成立食品药品安全志愿服务队伍，打造食品药品安全志愿服务模式。一是搭建“网络化”组织架构，推进建立市、区、街道、社区四级组织管理架构，按照志愿者年龄和职业划分组建团体分队。二是健全“规范化”管理机制，健全志愿服务制度，完善激励机制，通过信息化建设探索“互联网＋志愿服务”模式。三是创新“立体化”服务模式，紧扣社会普遍关切，开展科普宣传与体验活动，开创“社会监督＋配合执法”服务模式。</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lang w:bidi="ar"/>
              </w:rPr>
            </w:pPr>
            <w:r>
              <w:rPr>
                <w:rFonts w:hint="eastAsia" w:ascii="宋体" w:hAnsi="宋体" w:cs="仿宋_GB2312"/>
                <w:szCs w:val="21"/>
                <w:lang w:bidi="ar"/>
              </w:rPr>
              <w:t>市市场</w:t>
            </w:r>
          </w:p>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监管局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8930" w:type="dxa"/>
            <w:gridSpan w:val="5"/>
            <w:noWrap w:val="0"/>
            <w:tcMar>
              <w:top w:w="15" w:type="dxa"/>
              <w:left w:w="15" w:type="dxa"/>
              <w:right w:w="15" w:type="dxa"/>
            </w:tcMar>
            <w:vAlign w:val="center"/>
          </w:tcPr>
          <w:p>
            <w:pPr>
              <w:widowControl/>
              <w:spacing w:line="280" w:lineRule="exact"/>
              <w:ind w:left="42" w:leftChars="20" w:right="42" w:rightChars="20"/>
              <w:textAlignment w:val="center"/>
              <w:rPr>
                <w:rFonts w:hint="eastAsia" w:ascii="黑体" w:hAnsi="宋体" w:eastAsia="黑体" w:cs="仿宋_GB2312"/>
                <w:szCs w:val="21"/>
                <w:lang w:bidi="ar"/>
              </w:rPr>
            </w:pPr>
            <w:r>
              <w:rPr>
                <w:rFonts w:hint="eastAsia" w:ascii="黑体" w:hAnsi="宋体" w:eastAsia="黑体" w:cs="仿宋_GB2312"/>
                <w:szCs w:val="21"/>
                <w:lang w:bidi="ar"/>
              </w:rPr>
              <w:t>七、体制机制创新领域（1项）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77" w:type="dxa"/>
            <w:noWrap w:val="0"/>
            <w:tcMar>
              <w:top w:w="15" w:type="dxa"/>
              <w:left w:w="15" w:type="dxa"/>
              <w:right w:w="15" w:type="dxa"/>
            </w:tcMar>
            <w:vAlign w:val="center"/>
          </w:tcPr>
          <w:p>
            <w:pPr>
              <w:widowControl/>
              <w:spacing w:line="280" w:lineRule="exact"/>
              <w:ind w:left="42" w:leftChars="20" w:right="42" w:rightChars="20"/>
              <w:jc w:val="center"/>
              <w:textAlignment w:val="center"/>
              <w:rPr>
                <w:rFonts w:hint="eastAsia" w:ascii="宋体" w:hAnsi="宋体" w:cs="仿宋_GB2312"/>
                <w:szCs w:val="21"/>
              </w:rPr>
            </w:pPr>
            <w:r>
              <w:rPr>
                <w:rFonts w:hint="eastAsia" w:ascii="宋体" w:hAnsi="宋体" w:cs="仿宋_GB2312"/>
                <w:szCs w:val="21"/>
                <w:lang w:bidi="ar"/>
              </w:rPr>
              <w:t>43</w:t>
            </w:r>
          </w:p>
        </w:tc>
        <w:tc>
          <w:tcPr>
            <w:tcW w:w="1258" w:type="dxa"/>
            <w:noWrap w:val="0"/>
            <w:tcMar>
              <w:top w:w="15" w:type="dxa"/>
              <w:left w:w="15" w:type="dxa"/>
              <w:right w:w="15" w:type="dxa"/>
            </w:tcMar>
            <w:vAlign w:val="center"/>
          </w:tcPr>
          <w:p>
            <w:pPr>
              <w:widowControl/>
              <w:spacing w:line="28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设立版权机制创新体系</w:t>
            </w:r>
          </w:p>
        </w:tc>
        <w:tc>
          <w:tcPr>
            <w:tcW w:w="5940" w:type="dxa"/>
            <w:noWrap w:val="0"/>
            <w:tcMar>
              <w:top w:w="15" w:type="dxa"/>
              <w:left w:w="15" w:type="dxa"/>
              <w:right w:w="15" w:type="dxa"/>
            </w:tcMar>
            <w:vAlign w:val="center"/>
          </w:tcPr>
          <w:p>
            <w:pPr>
              <w:widowControl/>
              <w:spacing w:line="28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一是开展版权确权与司法存证、版权资产管理与评估、版权交易与金融服务、版权监管与快速处理、版权许可与维权等机制创新。二是开展版权大数据、版权区块链、数字版权标识、版权监测、传播溯源、内容加密技术、内容制作技术、内容传播技术、内容呈现技术、内容识别技术、人工智能技术等技术与标准创新。三是打造包括版权产权代理、维权诉讼、著作权登记、版权交易、品牌管理与推广、产业项目孵化与金融服务等综合性一体化全产业链服务创新体系。</w:t>
            </w:r>
          </w:p>
        </w:tc>
        <w:tc>
          <w:tcPr>
            <w:tcW w:w="784" w:type="dxa"/>
            <w:noWrap w:val="0"/>
            <w:tcMar>
              <w:top w:w="15" w:type="dxa"/>
              <w:left w:w="15" w:type="dxa"/>
              <w:right w:w="15" w:type="dxa"/>
            </w:tcMar>
            <w:vAlign w:val="center"/>
          </w:tcPr>
          <w:p>
            <w:pPr>
              <w:widowControl/>
              <w:spacing w:line="260" w:lineRule="exact"/>
              <w:ind w:left="42" w:leftChars="20" w:right="42" w:rightChars="20"/>
              <w:textAlignment w:val="center"/>
              <w:rPr>
                <w:rFonts w:hint="eastAsia" w:ascii="宋体" w:hAnsi="宋体" w:cs="仿宋_GB2312"/>
                <w:szCs w:val="21"/>
                <w:lang w:bidi="ar"/>
              </w:rPr>
            </w:pPr>
            <w:r>
              <w:rPr>
                <w:rFonts w:hint="eastAsia" w:ascii="宋体" w:hAnsi="宋体" w:cs="仿宋_GB2312"/>
                <w:szCs w:val="21"/>
                <w:lang w:bidi="ar"/>
              </w:rPr>
              <w:t>市市场</w:t>
            </w:r>
          </w:p>
          <w:p>
            <w:pPr>
              <w:widowControl/>
              <w:spacing w:line="260" w:lineRule="exact"/>
              <w:ind w:left="42" w:leftChars="20" w:right="42" w:rightChars="20"/>
              <w:textAlignment w:val="center"/>
              <w:rPr>
                <w:rFonts w:hint="eastAsia" w:ascii="宋体" w:hAnsi="宋体" w:cs="仿宋_GB2312"/>
                <w:szCs w:val="21"/>
              </w:rPr>
            </w:pPr>
            <w:r>
              <w:rPr>
                <w:rFonts w:hint="eastAsia" w:ascii="宋体" w:hAnsi="宋体" w:cs="仿宋_GB2312"/>
                <w:szCs w:val="21"/>
                <w:lang w:bidi="ar"/>
              </w:rPr>
              <w:t>监管局</w:t>
            </w:r>
          </w:p>
        </w:tc>
        <w:tc>
          <w:tcPr>
            <w:tcW w:w="571" w:type="dxa"/>
            <w:noWrap w:val="0"/>
            <w:tcMar>
              <w:top w:w="15" w:type="dxa"/>
              <w:left w:w="15" w:type="dxa"/>
              <w:right w:w="15" w:type="dxa"/>
            </w:tcMar>
            <w:vAlign w:val="center"/>
          </w:tcPr>
          <w:p>
            <w:pPr>
              <w:widowControl/>
              <w:spacing w:line="260" w:lineRule="exact"/>
              <w:ind w:left="42" w:leftChars="20" w:right="42" w:rightChars="20"/>
              <w:jc w:val="center"/>
              <w:textAlignment w:val="center"/>
              <w:rPr>
                <w:rFonts w:hint="eastAsia" w:ascii="宋体" w:hAnsi="宋体" w:cs="仿宋_GB2312"/>
                <w:szCs w:val="21"/>
              </w:rPr>
            </w:pPr>
            <w:r>
              <w:rPr>
                <w:rFonts w:hint="eastAsia" w:ascii="宋体" w:hAnsi="宋体" w:cs="仿宋_GB2312"/>
                <w:kern w:val="0"/>
                <w:szCs w:val="21"/>
                <w:lang w:bidi="ar"/>
              </w:rPr>
              <w:t>全市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1100C"/>
    <w:rsid w:val="7C811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2021-06-22T08:08:00Z</dcterms:created>
  <dc:creator>微凉</dc:creator>
  <cp:lastModifiedBy>微凉</cp:lastModifiedBy>
  <dcterms:modified xsi:type="dcterms:W3CDTF">2021-06-22T08:11:31Z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BF1BF60991174B3785E8D01DB3465D0B</vt:lpwstr>
  </property>
</Properties>
</file>