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6.4.0.0 --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firstLine="0" w:leftChars="0"/>
        <w:jc w:val="both"/>
        <w:textAlignment w:val="auto"/>
        <w:rPr>
          <w:rFonts w:ascii="黑体" w:eastAsia="黑体" w:hAnsi="黑体" w:cs="黑体" w:hint="eastAsia"/>
          <w:sz w:val="32"/>
          <w:szCs w:val="32"/>
          <w:lang w:val="en-US" w:eastAsia="zh-CN"/>
        </w:rPr>
      </w:pPr>
      <w:r>
        <w:rPr>
          <w:rFonts w:ascii="黑体" w:eastAsia="黑体" w:hAnsi="黑体" w:cs="黑体" w:hint="eastAsia"/>
          <w:sz w:val="32"/>
          <w:szCs w:val="32"/>
          <w:lang w:val="en-US" w:eastAsia="zh-CN"/>
        </w:rPr>
        <w:t>附件3</w:t>
      </w:r>
    </w:p>
    <w:tbl>
      <w:tblPr>
        <w:tblStyle w:val="TableNormal"/>
        <w:tblW w:w="15125" w:type="dxa"/>
        <w:jc w:val="center"/>
        <w:tblInd w:w="-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7"/>
        <w:gridCol w:w="1531"/>
        <w:gridCol w:w="1171"/>
        <w:gridCol w:w="765"/>
        <w:gridCol w:w="877"/>
        <w:gridCol w:w="1386"/>
        <w:gridCol w:w="1354"/>
        <w:gridCol w:w="2793"/>
        <w:gridCol w:w="1707"/>
        <w:gridCol w:w="1604"/>
        <w:gridCol w:w="1200"/>
      </w:tblGrid>
      <w:tr>
        <w:tblPrEx>
          <w:tblW w:w="15125" w:type="dxa"/>
          <w:jc w:val="center"/>
          <w:tblInd w:w="-45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/>
          <w:jc w:val="center"/>
        </w:trPr>
        <w:tc>
          <w:tcPr>
            <w:tcW w:w="15125" w:type="dxa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黑体_GBK" w:eastAsia="方正黑体_GBK" w:hAnsi="方正黑体_GBK" w:cs="方正黑体_GBK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ascii="宋体" w:eastAsia="宋体" w:hAnsi="宋体" w:cs="宋体" w:hint="eastAsia"/>
                <w:b/>
                <w:bCs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深圳市“十四五”重点用能单位节能改造情况表</w:t>
            </w:r>
          </w:p>
        </w:tc>
      </w:tr>
      <w:tr>
        <w:tblPrEx>
          <w:tblW w:w="15125" w:type="dxa"/>
          <w:jc w:val="center"/>
          <w:tblInd w:w="-456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/>
          <w:jc w:val="center"/>
        </w:trPr>
        <w:tc>
          <w:tcPr>
            <w:tcW w:w="7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eastAsia="黑体" w:hAnsi="黑体" w:cs="黑体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黑体" w:eastAsia="黑体" w:hAnsi="黑体" w:cs="黑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eastAsia="黑体" w:hAnsi="黑体" w:cs="黑体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黑体" w:eastAsia="黑体" w:hAnsi="黑体" w:cs="黑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单位名称</w:t>
            </w:r>
          </w:p>
        </w:tc>
        <w:tc>
          <w:tcPr>
            <w:tcW w:w="11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eastAsia="黑体" w:hAnsi="黑体" w:cs="黑体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黑体" w:eastAsia="黑体" w:hAnsi="黑体" w:cs="黑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统一社会</w:t>
            </w:r>
            <w:r>
              <w:rPr>
                <w:rFonts w:ascii="黑体" w:eastAsia="黑体" w:hAnsi="黑体" w:cs="黑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/>
            </w:r>
            <w:r>
              <w:rPr>
                <w:rFonts w:ascii="黑体" w:eastAsia="黑体" w:hAnsi="黑体" w:cs="黑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信用代码</w:t>
            </w:r>
          </w:p>
        </w:tc>
        <w:tc>
          <w:tcPr>
            <w:tcW w:w="7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eastAsia="黑体" w:hAnsi="黑体" w:cs="黑体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黑体" w:eastAsia="黑体" w:hAnsi="黑体" w:cs="黑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行业代码</w:t>
            </w:r>
          </w:p>
        </w:tc>
        <w:tc>
          <w:tcPr>
            <w:tcW w:w="8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eastAsia="黑体" w:hAnsi="黑体" w:cs="黑体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黑体" w:eastAsia="黑体" w:hAnsi="黑体" w:cs="黑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所在区</w:t>
            </w:r>
          </w:p>
        </w:tc>
        <w:tc>
          <w:tcPr>
            <w:tcW w:w="2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eastAsia="黑体" w:hAnsi="黑体" w:cs="黑体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黑体" w:eastAsia="黑体" w:hAnsi="黑体" w:cs="黑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</w:t>
            </w:r>
            <w:r>
              <w:rPr>
                <w:rStyle w:val="font41"/>
                <w:rFonts w:ascii="黑体" w:eastAsia="黑体" w:hAnsi="黑体" w:cs="黑体" w:hint="eastAsia"/>
                <w:lang w:val="en-US" w:eastAsia="zh-CN" w:bidi="ar"/>
              </w:rPr>
              <w:t>年综合能源消费量（万吨标准煤）</w:t>
            </w:r>
          </w:p>
        </w:tc>
        <w:tc>
          <w:tcPr>
            <w:tcW w:w="2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eastAsia="黑体" w:hAnsi="黑体" w:cs="黑体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黑体" w:eastAsia="黑体" w:hAnsi="黑体" w:cs="黑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“十四五”拟改造内容</w:t>
            </w:r>
          </w:p>
        </w:tc>
        <w:tc>
          <w:tcPr>
            <w:tcW w:w="331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eastAsia="黑体" w:hAnsi="黑体" w:cs="黑体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黑体" w:eastAsia="黑体" w:hAnsi="黑体" w:cs="黑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“十四五”可形成的</w:t>
            </w:r>
            <w:r>
              <w:rPr>
                <w:rFonts w:ascii="黑体" w:eastAsia="黑体" w:hAnsi="黑体" w:cs="黑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/>
            </w:r>
            <w:r>
              <w:rPr>
                <w:rFonts w:ascii="黑体" w:eastAsia="黑体" w:hAnsi="黑体" w:cs="黑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年节能减碳能力</w:t>
            </w:r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eastAsia="黑体" w:hAnsi="黑体" w:cs="黑体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黑体" w:eastAsia="黑体" w:hAnsi="黑体" w:cs="黑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投资估算</w:t>
            </w:r>
            <w:r>
              <w:rPr>
                <w:rFonts w:ascii="黑体" w:eastAsia="黑体" w:hAnsi="黑体" w:cs="黑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/>
            </w:r>
            <w:r>
              <w:rPr>
                <w:rFonts w:ascii="黑体" w:eastAsia="黑体" w:hAnsi="黑体" w:cs="黑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（万元）</w:t>
            </w:r>
          </w:p>
        </w:tc>
      </w:tr>
      <w:tr>
        <w:tblPrEx>
          <w:tblW w:w="15125" w:type="dxa"/>
          <w:jc w:val="center"/>
          <w:tblInd w:w="-456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/>
          <w:jc w:val="center"/>
        </w:trPr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eastAsia="黑体" w:hAnsi="黑体" w:cs="黑体" w:hint="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eastAsia="黑体" w:hAnsi="黑体" w:cs="黑体" w:hint="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eastAsia="黑体" w:hAnsi="黑体" w:cs="黑体" w:hint="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eastAsia="黑体" w:hAnsi="黑体" w:cs="黑体" w:hint="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eastAsia="黑体" w:hAnsi="黑体" w:cs="黑体" w:hint="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eastAsia="黑体" w:hAnsi="黑体" w:cs="黑体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黑体" w:eastAsia="黑体" w:hAnsi="黑体" w:cs="黑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当量值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eastAsia="黑体" w:hAnsi="黑体" w:cs="黑体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黑体" w:eastAsia="黑体" w:hAnsi="黑体" w:cs="黑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等价值</w:t>
            </w:r>
          </w:p>
        </w:tc>
        <w:tc>
          <w:tcPr>
            <w:tcW w:w="2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eastAsia="黑体" w:hAnsi="黑体" w:cs="黑体" w:hint="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eastAsia="黑体" w:hAnsi="黑体" w:cs="黑体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黑体" w:eastAsia="黑体" w:hAnsi="黑体" w:cs="黑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节能量</w:t>
            </w:r>
            <w:r>
              <w:rPr>
                <w:rFonts w:ascii="黑体" w:eastAsia="黑体" w:hAnsi="黑体" w:cs="黑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/>
            </w:r>
            <w:r>
              <w:rPr>
                <w:rFonts w:ascii="黑体" w:eastAsia="黑体" w:hAnsi="黑体" w:cs="黑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（吨标准煤）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eastAsia="黑体" w:hAnsi="黑体" w:cs="黑体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黑体" w:eastAsia="黑体" w:hAnsi="黑体" w:cs="黑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二氧化碳减排量（吨）</w:t>
            </w: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eastAsia="黑体" w:hAnsi="黑体" w:cs="黑体" w:hint="eastAsia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W w:w="15125" w:type="dxa"/>
          <w:jc w:val="center"/>
          <w:tblInd w:w="-456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/>
          <w:jc w:val="center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eastAsia="黑体" w:hAnsi="黑体" w:cs="黑体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黑体" w:eastAsia="黑体" w:hAnsi="黑体" w:cs="黑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eastAsia="黑体" w:hAnsi="黑体" w:cs="黑体" w:hint="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eastAsia="黑体" w:hAnsi="黑体" w:cs="黑体" w:hint="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ascii="黑体" w:eastAsia="黑体" w:hAnsi="黑体" w:cs="黑体" w:hint="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ascii="黑体" w:eastAsia="黑体" w:hAnsi="黑体" w:cs="黑体" w:hint="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eastAsia="黑体" w:hAnsi="黑体" w:cs="黑体" w:hint="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eastAsia="黑体" w:hAnsi="黑体" w:cs="黑体" w:hint="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eastAsia="黑体" w:hAnsi="黑体" w:cs="黑体" w:hint="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黑体" w:eastAsia="黑体" w:hAnsi="黑体" w:cs="黑体" w:hint="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黑体" w:eastAsia="黑体" w:hAnsi="黑体" w:cs="黑体" w:hint="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黑体" w:eastAsia="黑体" w:hAnsi="黑体" w:cs="黑体" w:hint="eastAsia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W w:w="15125" w:type="dxa"/>
          <w:jc w:val="center"/>
          <w:tblInd w:w="-456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/>
          <w:jc w:val="center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eastAsia="黑体" w:hAnsi="黑体" w:cs="黑体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黑体" w:eastAsia="黑体" w:hAnsi="黑体" w:cs="黑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eastAsia="黑体" w:hAnsi="黑体" w:cs="黑体" w:hint="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eastAsia="黑体" w:hAnsi="黑体" w:cs="黑体" w:hint="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ascii="黑体" w:eastAsia="黑体" w:hAnsi="黑体" w:cs="黑体" w:hint="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ascii="黑体" w:eastAsia="黑体" w:hAnsi="黑体" w:cs="黑体" w:hint="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eastAsia="黑体" w:hAnsi="黑体" w:cs="黑体" w:hint="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eastAsia="黑体" w:hAnsi="黑体" w:cs="黑体" w:hint="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eastAsia="黑体" w:hAnsi="黑体" w:cs="黑体" w:hint="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黑体" w:eastAsia="黑体" w:hAnsi="黑体" w:cs="黑体" w:hint="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黑体" w:eastAsia="黑体" w:hAnsi="黑体" w:cs="黑体" w:hint="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黑体" w:eastAsia="黑体" w:hAnsi="黑体" w:cs="黑体" w:hint="eastAsia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W w:w="15125" w:type="dxa"/>
          <w:jc w:val="center"/>
          <w:tblInd w:w="-456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/>
          <w:jc w:val="center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eastAsia="黑体" w:hAnsi="黑体" w:cs="黑体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黑体" w:eastAsia="黑体" w:hAnsi="黑体" w:cs="黑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……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eastAsia="黑体" w:hAnsi="黑体" w:cs="黑体" w:hint="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eastAsia="黑体" w:hAnsi="黑体" w:cs="黑体" w:hint="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ascii="黑体" w:eastAsia="黑体" w:hAnsi="黑体" w:cs="黑体" w:hint="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ascii="黑体" w:eastAsia="黑体" w:hAnsi="黑体" w:cs="黑体" w:hint="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eastAsia="黑体" w:hAnsi="黑体" w:cs="黑体" w:hint="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eastAsia="黑体" w:hAnsi="黑体" w:cs="黑体" w:hint="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eastAsia="黑体" w:hAnsi="黑体" w:cs="黑体" w:hint="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黑体" w:eastAsia="黑体" w:hAnsi="黑体" w:cs="黑体" w:hint="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黑体" w:eastAsia="黑体" w:hAnsi="黑体" w:cs="黑体" w:hint="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黑体" w:eastAsia="黑体" w:hAnsi="黑体" w:cs="黑体" w:hint="eastAsia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W w:w="15125" w:type="dxa"/>
          <w:jc w:val="center"/>
          <w:tblInd w:w="-456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/>
          <w:jc w:val="center"/>
        </w:trPr>
        <w:tc>
          <w:tcPr>
            <w:tcW w:w="1512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黑体" w:eastAsia="黑体" w:hAnsi="黑体" w:cs="黑体" w:hint="eastAsia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黑体" w:eastAsia="黑体" w:hAnsi="黑体" w:cs="黑体" w:hint="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填报说明：</w:t>
            </w:r>
            <w:r>
              <w:rPr>
                <w:rStyle w:val="font01"/>
                <w:rFonts w:ascii="黑体" w:eastAsia="黑体" w:hAnsi="黑体" w:cs="黑体" w:hint="eastAsia"/>
                <w:lang w:val="en-US" w:eastAsia="zh-CN" w:bidi="ar"/>
              </w:rPr>
              <w:t>1.</w:t>
            </w:r>
            <w:r>
              <w:rPr>
                <w:rStyle w:val="font11"/>
                <w:rFonts w:ascii="黑体" w:eastAsia="黑体" w:hAnsi="黑体" w:cs="黑体" w:hint="eastAsia"/>
                <w:lang w:val="en-US" w:eastAsia="zh-CN" w:bidi="ar"/>
              </w:rPr>
              <w:t>行业代码按《国民经济行业分类》（</w:t>
            </w:r>
            <w:r>
              <w:rPr>
                <w:rStyle w:val="font01"/>
                <w:rFonts w:ascii="黑体" w:eastAsia="黑体" w:hAnsi="黑体" w:cs="黑体" w:hint="eastAsia"/>
                <w:lang w:val="en-US" w:eastAsia="zh-CN" w:bidi="ar"/>
              </w:rPr>
              <w:t>GB/T 4754-2017</w:t>
            </w:r>
            <w:r>
              <w:rPr>
                <w:rStyle w:val="font11"/>
                <w:rFonts w:ascii="黑体" w:eastAsia="黑体" w:hAnsi="黑体" w:cs="黑体" w:hint="eastAsia"/>
                <w:lang w:val="en-US" w:eastAsia="zh-CN" w:bidi="ar"/>
              </w:rPr>
              <w:t>）填写；</w:t>
            </w:r>
            <w:r>
              <w:rPr>
                <w:rStyle w:val="font11"/>
                <w:rFonts w:ascii="黑体" w:eastAsia="黑体" w:hAnsi="黑体" w:cs="黑体" w:hint="eastAsia"/>
                <w:lang w:val="en-US" w:eastAsia="zh-CN" w:bidi="ar"/>
              </w:rPr>
              <w:br/>
            </w:r>
            <w:r>
              <w:rPr>
                <w:rStyle w:val="font11"/>
                <w:rFonts w:ascii="黑体" w:eastAsia="黑体" w:hAnsi="黑体" w:cs="黑体" w:hint="eastAsia"/>
                <w:lang w:val="en-US" w:eastAsia="zh-CN" w:bidi="ar"/>
              </w:rPr>
              <w:t xml:space="preserve">         </w:t>
            </w:r>
            <w:r>
              <w:rPr>
                <w:rStyle w:val="font01"/>
                <w:rFonts w:ascii="黑体" w:eastAsia="黑体" w:hAnsi="黑体" w:cs="黑体" w:hint="eastAsia"/>
                <w:lang w:val="en-US" w:eastAsia="zh-CN" w:bidi="ar"/>
              </w:rPr>
              <w:t xml:space="preserve"> 2.</w:t>
            </w:r>
            <w:r>
              <w:rPr>
                <w:rStyle w:val="font11"/>
                <w:rFonts w:ascii="黑体" w:eastAsia="黑体" w:hAnsi="黑体" w:cs="黑体" w:hint="eastAsia"/>
                <w:lang w:val="en-US" w:eastAsia="zh-CN" w:bidi="ar"/>
              </w:rPr>
              <w:t>节能量按照等价值计算。</w:t>
            </w:r>
          </w:p>
        </w:tc>
      </w:tr>
    </w:tbl>
    <w:p/>
    <w:sectPr>
      <w:headerReference w:type="even" r:id="rId5"/>
      <w:headerReference w:type="default" r:id="rId6"/>
      <w:footerReference w:type="default" r:id="rId7"/>
      <w:headerReference w:type="first" r:id="rId8"/>
      <w:pgSz w:w="16838" w:h="11906" w:orient="landscape"/>
      <w:pgMar w:top="1800" w:right="1440" w:bottom="1800" w:left="144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49" o:spid="_x0000_s2052" type="#_x0000_t136" style="width:280pt;height:44pt;margin-top:0;margin-left:0;mso-height-relative:page;mso-position-horizontal:center;mso-position-horizontal-relative:page;mso-position-vertical:center;mso-position-vertical-relative:page;mso-width-relative:page;position:absolute;z-index:251662336" coordsize="21600,21600" filled="t" fillcolor="#e3e4e6" stroked="t" strokecolor="#f4f5f6">
          <v:textpath style="font-family:'宋体';font-size:36pt;v-text-align:center" trim="f" fitpath="t" xscale="f" string="深圳市工业和信息化局 陈琼芬（非）&#10;2021-06-18 16:43:44"/>
        </v:shape>
      </w:pict>
    </w:r>
  </w:p>
  <w:p>
    <w:r>
      <w:pict>
        <v:shape id="_x0000_s2053" type="#_x0000_t136" style="width:280pt;height:44pt;margin-top:0;margin-left:0;mso-position-horizontal:center;mso-position-horizontal-relative:page;mso-position-vertical:center;mso-position-vertical-relative:page;position:absolute;rotation:-45;z-index:251661312" fillcolor="#e3e4e6" strokecolor="#f4f5f6">
          <v:textpath style="font-family:'宋体'" string="深圳市工业和信息化局 夏良庆（非）&#10;2021-06-18 17:30:17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bookmarkStart w:id="0" w:name="_GoBack"/>
    <w:bookmarkEnd w:id="0"/>
  </w:p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1" type="#_x0000_t136" style="width:280pt;height:44pt;margin-top:0;margin-left:0;mso-position-horizontal:center;mso-position-horizontal-relative:page;mso-position-vertical:center;mso-position-vertical-relative:page;position:absolute;rotation:-45;z-index:251660288" fillcolor="#e3e4e6" strokecolor="#f4f5f6">
          <v:textpath style="font-family:'宋体'" string="深圳市工业和信息化局 夏良庆（非）&#10;2021-06-18 17:30:17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1" o:spid="_x0000_s2049" type="#_x0000_t136" style="width:280pt;height:44pt;margin-top:0;margin-left:0;mso-height-relative:page;mso-position-horizontal:center;mso-position-horizontal-relative:page;mso-position-vertical:center;mso-position-vertical-relative:page;mso-width-relative:page;position:absolute;z-index:251658240" coordsize="21600,21600" filled="t" fillcolor="#e3e4e6" stroked="t" strokecolor="#f4f5f6">
          <v:textpath style="font-family:'宋体';font-size:36pt;v-text-align:center" trim="f" fitpath="t" xscale="f" string="深圳市工业和信息化局 陈琼芬（非）&#10;2021-06-18 16:43:44"/>
        </v:shape>
      </w:pict>
    </w:r>
  </w:p>
  <w:p>
    <w:r>
      <w:pict>
        <v:shape id="_x0000_s2050" type="#_x0000_t136" style="width:280pt;height:44pt;margin-top:0;margin-left:0;mso-position-horizontal:center;mso-position-horizontal-relative:page;mso-position-vertical:center;mso-position-vertical-relative:page;position:absolute;rotation:-45;z-index:251659264" fillcolor="#e3e4e6" strokecolor="#f4f5f6">
          <v:textpath style="font-family:'宋体'" string="深圳市工业和信息化局 夏良庆（非）&#10;2021-06-18 17:30:17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spacing w:after="200" w:line="276" w:lineRule="auto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font41">
    <w:name w:val="font41"/>
    <w:basedOn w:val="DefaultParagraphFont"/>
    <w:qFormat/>
    <w:rPr>
      <w:rFonts w:ascii="方正黑体_GBK" w:eastAsia="方正黑体_GBK" w:hAnsi="方正黑体_GBK" w:cs="方正黑体_GBK" w:hint="default"/>
      <w:color w:val="000000"/>
      <w:sz w:val="24"/>
      <w:szCs w:val="24"/>
      <w:u w:val="none"/>
    </w:rPr>
  </w:style>
  <w:style w:type="character" w:customStyle="1" w:styleId="font01">
    <w:name w:val="font01"/>
    <w:basedOn w:val="DefaultParagraphFont"/>
    <w:qFormat/>
    <w:rPr>
      <w:rFonts w:ascii="Times New Roman" w:hAnsi="Times New Roman" w:cs="Times New Roman" w:hint="default"/>
      <w:color w:val="000000"/>
      <w:sz w:val="22"/>
      <w:szCs w:val="22"/>
      <w:u w:val="none"/>
    </w:rPr>
  </w:style>
  <w:style w:type="character" w:customStyle="1" w:styleId="font11">
    <w:name w:val="font11"/>
    <w:basedOn w:val="DefaultParagraphFont"/>
    <w:qFormat/>
    <w:rPr>
      <w:rFonts w:ascii="方正仿宋_GBK" w:eastAsia="方正仿宋_GBK" w:hAnsi="方正仿宋_GBK" w:cs="方正仿宋_GBK" w:hint="default"/>
      <w:color w:val="00000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倪修缘</dc:creator>
  <cp:lastModifiedBy>陈琼芬（非）</cp:lastModifiedBy>
  <cp:revision>1</cp:revision>
  <dcterms:created xsi:type="dcterms:W3CDTF">2021-06-16T05:14:00Z</dcterms:created>
  <dcterms:modified xsi:type="dcterms:W3CDTF">2021-06-18T08:45:08Z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