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40"/>
        <w:outlineLvl w:val="0"/>
        <w:rPr>
          <w:rFonts w:ascii="黑体" w:hAnsi="黑体" w:eastAsia="黑体" w:cs="仿宋"/>
          <w:color w:val="auto"/>
          <w:szCs w:val="32"/>
        </w:rPr>
      </w:pPr>
      <w:r>
        <w:rPr>
          <w:rFonts w:hint="eastAsia" w:ascii="黑体" w:hAnsi="黑体" w:eastAsia="黑体" w:cs="仿宋"/>
          <w:color w:val="auto"/>
          <w:szCs w:val="32"/>
        </w:rPr>
        <w:t>附件1：</w:t>
      </w:r>
    </w:p>
    <w:p>
      <w:pPr>
        <w:spacing w:after="156" w:afterLines="50"/>
        <w:ind w:firstLine="0" w:firstLineChars="0"/>
        <w:jc w:val="center"/>
        <w:rPr>
          <w:rFonts w:ascii="黑体" w:hAnsi="黑体" w:eastAsia="黑体" w:cs="仿宋_GB2312"/>
          <w:color w:val="auto"/>
          <w:szCs w:val="32"/>
        </w:rPr>
      </w:pPr>
      <w:r>
        <w:rPr>
          <w:rFonts w:hint="eastAsia" w:ascii="黑体" w:hAnsi="黑体" w:eastAsia="黑体" w:cs="仿宋_GB2312"/>
          <w:color w:val="auto"/>
          <w:szCs w:val="32"/>
        </w:rPr>
        <w:t>评分细则</w:t>
      </w:r>
      <w:bookmarkStart w:id="0" w:name="_GoBack"/>
      <w:bookmarkEnd w:id="0"/>
    </w:p>
    <w:tbl>
      <w:tblPr>
        <w:tblStyle w:val="10"/>
        <w:tblW w:w="91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1"/>
        <w:gridCol w:w="1355"/>
        <w:gridCol w:w="5637"/>
        <w:gridCol w:w="780"/>
        <w:gridCol w:w="6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8" w:space="0"/>
              <w:left w:val="single" w:color="auto" w:sz="8"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b/>
                <w:color w:val="auto"/>
                <w:sz w:val="21"/>
                <w:szCs w:val="21"/>
              </w:rPr>
            </w:pPr>
            <w:r>
              <w:rPr>
                <w:rFonts w:hint="eastAsia" w:ascii="仿宋_GB2312" w:hAnsi="宋体" w:cs="宋体"/>
                <w:b/>
                <w:color w:val="auto"/>
                <w:sz w:val="21"/>
                <w:szCs w:val="21"/>
              </w:rPr>
              <w:t>评审</w:t>
            </w:r>
          </w:p>
          <w:p>
            <w:pPr>
              <w:spacing w:line="240" w:lineRule="auto"/>
              <w:ind w:left="-118" w:leftChars="-37" w:right="-112" w:rightChars="-35" w:firstLine="0" w:firstLineChars="0"/>
              <w:jc w:val="center"/>
              <w:rPr>
                <w:rFonts w:ascii="仿宋_GB2312" w:hAnsi="宋体" w:cs="宋体"/>
                <w:b/>
                <w:color w:val="auto"/>
                <w:sz w:val="21"/>
                <w:szCs w:val="21"/>
              </w:rPr>
            </w:pPr>
            <w:r>
              <w:rPr>
                <w:rFonts w:hint="eastAsia" w:ascii="仿宋_GB2312" w:hAnsi="宋体" w:cs="宋体"/>
                <w:b/>
                <w:color w:val="auto"/>
                <w:sz w:val="21"/>
                <w:szCs w:val="21"/>
              </w:rPr>
              <w:t>部分</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b/>
                <w:color w:val="auto"/>
                <w:sz w:val="21"/>
                <w:szCs w:val="21"/>
              </w:rPr>
            </w:pPr>
            <w:r>
              <w:rPr>
                <w:rFonts w:hint="eastAsia" w:ascii="仿宋_GB2312" w:hAnsi="宋体" w:cs="宋体"/>
                <w:b/>
                <w:color w:val="auto"/>
                <w:sz w:val="21"/>
                <w:szCs w:val="21"/>
              </w:rPr>
              <w:t>评审因素</w:t>
            </w:r>
          </w:p>
        </w:tc>
        <w:tc>
          <w:tcPr>
            <w:tcW w:w="5635" w:type="dxa"/>
            <w:tcBorders>
              <w:top w:val="single" w:color="auto" w:sz="8" w:space="0"/>
              <w:left w:val="single" w:color="auto" w:sz="8"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b/>
                <w:color w:val="auto"/>
                <w:sz w:val="21"/>
                <w:szCs w:val="21"/>
              </w:rPr>
            </w:pPr>
            <w:r>
              <w:rPr>
                <w:rFonts w:hint="eastAsia" w:ascii="仿宋_GB2312" w:hAnsi="宋体" w:cs="宋体"/>
                <w:b/>
                <w:color w:val="auto"/>
                <w:sz w:val="21"/>
                <w:szCs w:val="21"/>
              </w:rPr>
              <w:t>评分细则</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118" w:leftChars="-37" w:right="-112" w:rightChars="-35" w:firstLine="0" w:firstLineChars="0"/>
              <w:jc w:val="center"/>
              <w:rPr>
                <w:rFonts w:ascii="仿宋_GB2312" w:hAnsi="宋体" w:cs="宋体"/>
                <w:b/>
                <w:color w:val="auto"/>
                <w:sz w:val="21"/>
                <w:szCs w:val="21"/>
              </w:rPr>
            </w:pPr>
            <w:r>
              <w:rPr>
                <w:rFonts w:hint="eastAsia" w:ascii="仿宋_GB2312" w:hAnsi="宋体" w:cs="宋体"/>
                <w:b/>
                <w:color w:val="auto"/>
                <w:sz w:val="21"/>
                <w:szCs w:val="21"/>
              </w:rPr>
              <w:t>权重</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b/>
                <w:color w:val="auto"/>
                <w:sz w:val="21"/>
                <w:szCs w:val="21"/>
              </w:rPr>
            </w:pPr>
            <w:r>
              <w:rPr>
                <w:rFonts w:hint="eastAsia" w:ascii="仿宋_GB2312" w:hAnsi="宋体" w:cs="宋体"/>
                <w:b/>
                <w:color w:val="auto"/>
                <w:sz w:val="21"/>
                <w:szCs w:val="21"/>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680" w:type="dxa"/>
            <w:tcBorders>
              <w:top w:val="single" w:color="auto" w:sz="8" w:space="0"/>
              <w:left w:val="single" w:color="auto" w:sz="8"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b/>
                <w:color w:val="auto"/>
                <w:sz w:val="21"/>
                <w:szCs w:val="21"/>
              </w:rPr>
            </w:pPr>
            <w:r>
              <w:rPr>
                <w:rFonts w:hint="eastAsia" w:ascii="仿宋_GB2312" w:hAnsi="宋体" w:cs="宋体"/>
                <w:b/>
                <w:color w:val="auto"/>
                <w:sz w:val="21"/>
                <w:szCs w:val="21"/>
              </w:rPr>
              <w:t>一</w:t>
            </w:r>
          </w:p>
        </w:tc>
        <w:tc>
          <w:tcPr>
            <w:tcW w:w="8467" w:type="dxa"/>
            <w:gridSpan w:val="4"/>
            <w:tcBorders>
              <w:top w:val="single" w:color="auto" w:sz="8" w:space="0"/>
              <w:left w:val="single" w:color="auto" w:sz="8"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b/>
                <w:color w:val="auto"/>
                <w:sz w:val="21"/>
                <w:szCs w:val="21"/>
              </w:rPr>
            </w:pPr>
            <w:r>
              <w:rPr>
                <w:rFonts w:hint="eastAsia" w:ascii="仿宋_GB2312" w:hAnsi="宋体" w:cs="Times New Roman"/>
                <w:b/>
                <w:color w:val="auto"/>
                <w:sz w:val="21"/>
                <w:szCs w:val="21"/>
              </w:rPr>
              <w:t>技术部分（</w:t>
            </w:r>
            <w:r>
              <w:rPr>
                <w:rFonts w:ascii="仿宋_GB2312" w:hAnsi="宋体" w:cs="Times New Roman"/>
                <w:b/>
                <w:color w:val="auto"/>
                <w:sz w:val="21"/>
                <w:szCs w:val="21"/>
              </w:rPr>
              <w:t>35分）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8" w:space="0"/>
              <w:left w:val="single" w:color="auto" w:sz="8" w:space="0"/>
              <w:bottom w:val="single" w:color="auto" w:sz="4"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ascii="仿宋_GB2312" w:hAnsi="宋体" w:cs="Times New Roman"/>
                <w:color w:val="auto"/>
                <w:sz w:val="21"/>
                <w:szCs w:val="21"/>
              </w:rPr>
              <w:t>1</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宋体"/>
                <w:color w:val="auto"/>
                <w:sz w:val="21"/>
                <w:szCs w:val="21"/>
              </w:rPr>
            </w:pPr>
            <w:r>
              <w:rPr>
                <w:rFonts w:hint="eastAsia" w:ascii="仿宋_GB2312" w:hAnsi="宋体" w:cs="Times New Roman"/>
                <w:color w:val="auto"/>
                <w:sz w:val="21"/>
                <w:szCs w:val="21"/>
              </w:rPr>
              <w:t>项目实施方案</w:t>
            </w:r>
          </w:p>
        </w:tc>
        <w:tc>
          <w:tcPr>
            <w:tcW w:w="563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针对本项目的需求制定实施方案（包括但不限于工作措施、工作方法、工作手段、工作流程方面）：</w:t>
            </w:r>
          </w:p>
          <w:p>
            <w:pPr>
              <w:adjustRightInd w:val="0"/>
              <w:snapToGrid w:val="0"/>
              <w:spacing w:line="240" w:lineRule="auto"/>
              <w:ind w:firstLine="0" w:firstLineChars="0"/>
              <w:rPr>
                <w:rFonts w:ascii="仿宋_GB2312" w:hAnsi="宋体" w:cs="Times New Roman"/>
                <w:b/>
                <w:bCs/>
                <w:color w:val="auto"/>
                <w:sz w:val="21"/>
                <w:szCs w:val="21"/>
              </w:rPr>
            </w:pPr>
            <w:r>
              <w:rPr>
                <w:rFonts w:hint="eastAsia" w:ascii="仿宋_GB2312" w:hAnsi="宋体" w:cs="Times New Roman"/>
                <w:b/>
                <w:bCs/>
                <w:color w:val="auto"/>
                <w:sz w:val="21"/>
                <w:szCs w:val="21"/>
              </w:rPr>
              <w:t>评分标准：</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1）实施方案内容全面；</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2）实施方案内容具体，表达清晰、完整、严谨；</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3）实施方案内容针对性强；</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4）实施方案内容先进，科学合理；</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5）实施方案内容可操作性强；</w:t>
            </w:r>
          </w:p>
          <w:p>
            <w:pPr>
              <w:spacing w:line="240" w:lineRule="auto"/>
              <w:ind w:firstLine="0" w:firstLineChars="0"/>
              <w:jc w:val="left"/>
              <w:rPr>
                <w:rFonts w:ascii="仿宋_GB2312" w:hAnsi="宋体" w:cs="宋体"/>
                <w:color w:val="auto"/>
                <w:sz w:val="21"/>
                <w:szCs w:val="21"/>
              </w:rPr>
            </w:pPr>
            <w:r>
              <w:rPr>
                <w:rFonts w:hint="eastAsia" w:ascii="仿宋_GB2312" w:hAnsi="宋体" w:cs="Times New Roman"/>
                <w:color w:val="auto"/>
                <w:sz w:val="21"/>
                <w:szCs w:val="21"/>
              </w:rPr>
              <w:t>满足以上五项要求得</w:t>
            </w:r>
            <w:r>
              <w:rPr>
                <w:rFonts w:ascii="仿宋_GB2312" w:hAnsi="宋体" w:cs="Times New Roman"/>
                <w:color w:val="auto"/>
                <w:sz w:val="21"/>
                <w:szCs w:val="21"/>
              </w:rPr>
              <w:t>15分，满足以上四项要求得</w:t>
            </w:r>
            <w:r>
              <w:rPr>
                <w:rFonts w:hint="eastAsia" w:ascii="仿宋_GB2312" w:hAnsi="宋体" w:cs="Times New Roman"/>
                <w:color w:val="auto"/>
                <w:sz w:val="21"/>
                <w:szCs w:val="21"/>
                <w:lang w:val="en-US" w:eastAsia="zh-CN"/>
              </w:rPr>
              <w:t>12</w:t>
            </w:r>
            <w:r>
              <w:rPr>
                <w:rFonts w:ascii="仿宋_GB2312" w:hAnsi="宋体" w:cs="Times New Roman"/>
                <w:color w:val="auto"/>
                <w:sz w:val="21"/>
                <w:szCs w:val="21"/>
              </w:rPr>
              <w:t>分，满足以上三项要求得</w:t>
            </w:r>
            <w:r>
              <w:rPr>
                <w:rFonts w:hint="eastAsia" w:ascii="仿宋_GB2312" w:hAnsi="宋体" w:cs="Times New Roman"/>
                <w:color w:val="auto"/>
                <w:sz w:val="21"/>
                <w:szCs w:val="21"/>
                <w:lang w:val="en-US" w:eastAsia="zh-CN"/>
              </w:rPr>
              <w:t>9</w:t>
            </w:r>
            <w:r>
              <w:rPr>
                <w:rFonts w:ascii="仿宋_GB2312" w:hAnsi="宋体" w:cs="Times New Roman"/>
                <w:color w:val="auto"/>
                <w:sz w:val="21"/>
                <w:szCs w:val="21"/>
              </w:rPr>
              <w:t>分，满足以上两项要求得</w:t>
            </w:r>
            <w:r>
              <w:rPr>
                <w:rFonts w:hint="eastAsia" w:ascii="仿宋_GB2312" w:hAnsi="宋体" w:cs="Times New Roman"/>
                <w:color w:val="auto"/>
                <w:sz w:val="21"/>
                <w:szCs w:val="21"/>
                <w:lang w:val="en-US" w:eastAsia="zh-CN"/>
              </w:rPr>
              <w:t>6</w:t>
            </w:r>
            <w:r>
              <w:rPr>
                <w:rFonts w:ascii="仿宋_GB2312" w:hAnsi="宋体" w:cs="Times New Roman"/>
                <w:color w:val="auto"/>
                <w:sz w:val="21"/>
                <w:szCs w:val="21"/>
              </w:rPr>
              <w:t>分，满足以上一项要求得</w:t>
            </w:r>
            <w:r>
              <w:rPr>
                <w:rFonts w:hint="eastAsia" w:ascii="仿宋_GB2312" w:hAnsi="宋体" w:cs="Times New Roman"/>
                <w:color w:val="auto"/>
                <w:sz w:val="21"/>
                <w:szCs w:val="21"/>
                <w:lang w:val="en-US" w:eastAsia="zh-CN"/>
              </w:rPr>
              <w:t>3</w:t>
            </w:r>
            <w:r>
              <w:rPr>
                <w:rFonts w:ascii="仿宋_GB2312" w:hAnsi="宋体" w:cs="Times New Roman"/>
                <w:color w:val="auto"/>
                <w:sz w:val="21"/>
                <w:szCs w:val="21"/>
              </w:rPr>
              <w:t>分，其它情况不得分。</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15%</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left w:val="single" w:color="auto" w:sz="8" w:space="0"/>
              <w:bottom w:val="single" w:color="auto" w:sz="4"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ascii="仿宋_GB2312" w:hAnsi="宋体" w:cs="Times New Roman"/>
                <w:color w:val="auto"/>
                <w:sz w:val="21"/>
                <w:szCs w:val="21"/>
              </w:rPr>
              <w:t>2</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宋体"/>
                <w:color w:val="auto"/>
                <w:kern w:val="0"/>
                <w:sz w:val="21"/>
                <w:szCs w:val="21"/>
              </w:rPr>
            </w:pPr>
            <w:r>
              <w:rPr>
                <w:rFonts w:hint="eastAsia" w:ascii="仿宋_GB2312" w:hAnsi="宋体" w:cs="Times New Roman"/>
                <w:color w:val="auto"/>
                <w:sz w:val="21"/>
                <w:szCs w:val="21"/>
              </w:rPr>
              <w:t>项目重点难点分析及应对措施</w:t>
            </w:r>
          </w:p>
        </w:tc>
        <w:tc>
          <w:tcPr>
            <w:tcW w:w="563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针对本项目投标人对项目重点难点分析、应对措施及相关的合理化建议：</w:t>
            </w:r>
          </w:p>
          <w:p>
            <w:pPr>
              <w:adjustRightInd w:val="0"/>
              <w:snapToGrid w:val="0"/>
              <w:spacing w:line="240" w:lineRule="auto"/>
              <w:ind w:firstLine="0" w:firstLineChars="0"/>
              <w:rPr>
                <w:rFonts w:ascii="仿宋_GB2312" w:hAnsi="宋体" w:cs="Times New Roman"/>
                <w:b/>
                <w:bCs/>
                <w:color w:val="auto"/>
                <w:sz w:val="21"/>
                <w:szCs w:val="21"/>
              </w:rPr>
            </w:pPr>
            <w:r>
              <w:rPr>
                <w:rFonts w:hint="eastAsia" w:ascii="仿宋_GB2312" w:hAnsi="宋体" w:cs="Times New Roman"/>
                <w:b/>
                <w:bCs/>
                <w:color w:val="auto"/>
                <w:sz w:val="21"/>
                <w:szCs w:val="21"/>
              </w:rPr>
              <w:t>评分标准：</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1）工作重点、难点的分析思路明确，逻辑清晰；</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2）工作重点、难点的分析准确，全面；</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3）解决重点难点问题的方案措施合理且有针对性；</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4）解决重点难点问题的建议科学、可行性高；</w:t>
            </w:r>
          </w:p>
          <w:p>
            <w:pPr>
              <w:spacing w:line="240" w:lineRule="auto"/>
              <w:ind w:firstLine="0" w:firstLineChars="0"/>
              <w:jc w:val="left"/>
              <w:rPr>
                <w:rFonts w:ascii="仿宋_GB2312" w:hAnsi="宋体" w:cs="宋体"/>
                <w:color w:val="auto"/>
                <w:sz w:val="21"/>
                <w:szCs w:val="21"/>
              </w:rPr>
            </w:pPr>
            <w:r>
              <w:rPr>
                <w:rFonts w:hint="eastAsia" w:ascii="仿宋_GB2312" w:hAnsi="宋体" w:cs="Times New Roman"/>
                <w:color w:val="auto"/>
                <w:sz w:val="21"/>
                <w:szCs w:val="21"/>
              </w:rPr>
              <w:t>满足以上四项要求得</w:t>
            </w:r>
            <w:r>
              <w:rPr>
                <w:rFonts w:ascii="仿宋_GB2312" w:hAnsi="宋体" w:cs="Times New Roman"/>
                <w:color w:val="auto"/>
                <w:sz w:val="21"/>
                <w:szCs w:val="21"/>
              </w:rPr>
              <w:t>10分，满足以上三项要求得8分，满足以上两项要求得5分，满足以上一项要求得2分，其它情况不得分。</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10%</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ascii="仿宋_GB2312" w:hAnsi="宋体" w:cs="Times New Roman"/>
                <w:color w:val="auto"/>
                <w:sz w:val="21"/>
                <w:szCs w:val="21"/>
              </w:rPr>
              <w:t>3</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hint="eastAsia" w:ascii="仿宋_GB2312" w:hAnsi="宋体" w:cs="Times New Roman"/>
                <w:color w:val="auto"/>
                <w:sz w:val="21"/>
                <w:szCs w:val="21"/>
              </w:rPr>
              <w:t>项目质量保障措施</w:t>
            </w:r>
          </w:p>
        </w:tc>
        <w:tc>
          <w:tcPr>
            <w:tcW w:w="563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投标人需提供质量保障措施及方案，内容包括项目质量管理及质量保证措施、项目人员职责安排、项目进度计划安排及管理、项目过程管理、技术培训方案等。</w:t>
            </w:r>
          </w:p>
          <w:p>
            <w:pPr>
              <w:adjustRightInd w:val="0"/>
              <w:snapToGrid w:val="0"/>
              <w:spacing w:line="240" w:lineRule="auto"/>
              <w:ind w:firstLine="0" w:firstLineChars="0"/>
              <w:rPr>
                <w:rFonts w:ascii="仿宋_GB2312" w:hAnsi="宋体" w:cs="Times New Roman"/>
                <w:b/>
                <w:bCs/>
                <w:color w:val="auto"/>
                <w:sz w:val="21"/>
                <w:szCs w:val="21"/>
              </w:rPr>
            </w:pPr>
            <w:r>
              <w:rPr>
                <w:rFonts w:hint="eastAsia" w:ascii="仿宋_GB2312" w:hAnsi="宋体" w:cs="Times New Roman"/>
                <w:b/>
                <w:bCs/>
                <w:color w:val="auto"/>
                <w:sz w:val="21"/>
                <w:szCs w:val="21"/>
              </w:rPr>
              <w:t>评分标准：</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1</w:t>
            </w:r>
            <w:r>
              <w:rPr>
                <w:rFonts w:hint="eastAsia" w:ascii="仿宋_GB2312" w:hAnsi="宋体" w:cs="Times New Roman"/>
                <w:color w:val="auto"/>
                <w:sz w:val="21"/>
                <w:szCs w:val="21"/>
              </w:rPr>
              <w:t>）质量保障措施及方案内容全面；</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2</w:t>
            </w:r>
            <w:r>
              <w:rPr>
                <w:rFonts w:hint="eastAsia" w:ascii="仿宋_GB2312" w:hAnsi="宋体" w:cs="Times New Roman"/>
                <w:color w:val="auto"/>
                <w:sz w:val="21"/>
                <w:szCs w:val="21"/>
              </w:rPr>
              <w:t>）质量保障措施及方案内容具体，表述清晰、完整、严谨；</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3</w:t>
            </w:r>
            <w:r>
              <w:rPr>
                <w:rFonts w:hint="eastAsia" w:ascii="仿宋_GB2312" w:hAnsi="宋体" w:cs="Times New Roman"/>
                <w:color w:val="auto"/>
                <w:sz w:val="21"/>
                <w:szCs w:val="21"/>
              </w:rPr>
              <w:t>）质量保障措施及方案内容针对性强；</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4</w:t>
            </w:r>
            <w:r>
              <w:rPr>
                <w:rFonts w:hint="eastAsia" w:ascii="仿宋_GB2312" w:hAnsi="宋体" w:cs="Times New Roman"/>
                <w:color w:val="auto"/>
                <w:sz w:val="21"/>
                <w:szCs w:val="21"/>
              </w:rPr>
              <w:t>）质量保障措施及方案内容先进，科学合理；</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5</w:t>
            </w:r>
            <w:r>
              <w:rPr>
                <w:rFonts w:hint="eastAsia" w:ascii="仿宋_GB2312" w:hAnsi="宋体" w:cs="Times New Roman"/>
                <w:color w:val="auto"/>
                <w:sz w:val="21"/>
                <w:szCs w:val="21"/>
              </w:rPr>
              <w:t>）质量保障措施及方案内容可操作性强；</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满足以上五项要求得</w:t>
            </w:r>
            <w:r>
              <w:rPr>
                <w:rFonts w:ascii="仿宋_GB2312" w:hAnsi="宋体" w:cs="Times New Roman"/>
                <w:color w:val="auto"/>
                <w:sz w:val="21"/>
                <w:szCs w:val="21"/>
              </w:rPr>
              <w:t>5</w:t>
            </w:r>
            <w:r>
              <w:rPr>
                <w:rFonts w:hint="eastAsia" w:ascii="仿宋_GB2312" w:hAnsi="宋体" w:cs="Times New Roman"/>
                <w:color w:val="auto"/>
                <w:sz w:val="21"/>
                <w:szCs w:val="21"/>
              </w:rPr>
              <w:t>分，满足以上四项要求得</w:t>
            </w:r>
            <w:r>
              <w:rPr>
                <w:rFonts w:ascii="仿宋_GB2312" w:hAnsi="宋体" w:cs="Times New Roman"/>
                <w:color w:val="auto"/>
                <w:sz w:val="21"/>
                <w:szCs w:val="21"/>
              </w:rPr>
              <w:t>4</w:t>
            </w:r>
            <w:r>
              <w:rPr>
                <w:rFonts w:hint="eastAsia" w:ascii="仿宋_GB2312" w:hAnsi="宋体" w:cs="Times New Roman"/>
                <w:color w:val="auto"/>
                <w:sz w:val="21"/>
                <w:szCs w:val="21"/>
              </w:rPr>
              <w:t>分，满足以上三项要求得</w:t>
            </w:r>
            <w:r>
              <w:rPr>
                <w:rFonts w:ascii="仿宋_GB2312" w:hAnsi="宋体" w:cs="Times New Roman"/>
                <w:color w:val="auto"/>
                <w:sz w:val="21"/>
                <w:szCs w:val="21"/>
              </w:rPr>
              <w:t>3</w:t>
            </w:r>
            <w:r>
              <w:rPr>
                <w:rFonts w:hint="eastAsia" w:ascii="仿宋_GB2312" w:hAnsi="宋体" w:cs="Times New Roman"/>
                <w:color w:val="auto"/>
                <w:sz w:val="21"/>
                <w:szCs w:val="21"/>
              </w:rPr>
              <w:t>分，其它情况不得分。</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5%</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ascii="仿宋_GB2312" w:hAnsi="宋体" w:cs="Times New Roman"/>
                <w:color w:val="auto"/>
                <w:sz w:val="21"/>
                <w:szCs w:val="21"/>
              </w:rPr>
              <w:t>4</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hint="eastAsia" w:ascii="仿宋_GB2312" w:hAnsi="宋体" w:cs="Times New Roman"/>
                <w:color w:val="auto"/>
                <w:sz w:val="21"/>
                <w:szCs w:val="21"/>
                <w:highlight w:val="none"/>
              </w:rPr>
              <w:t>违约承诺</w:t>
            </w:r>
          </w:p>
        </w:tc>
        <w:tc>
          <w:tcPr>
            <w:tcW w:w="563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针对该项目做出违约承诺：</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1）违约承诺内容全面；</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2）违约承诺内容具体，表达清晰、完整、严谨；</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3）违约承诺保证措施合理且有针对性；</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4）违约承诺有具体的违约责任承诺；</w:t>
            </w:r>
          </w:p>
          <w:p>
            <w:pPr>
              <w:adjustRightInd w:val="0"/>
              <w:snapToGrid w:val="0"/>
              <w:spacing w:line="240" w:lineRule="auto"/>
              <w:ind w:firstLine="0" w:firstLineChars="0"/>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5）违约承诺得可操作性强；</w:t>
            </w:r>
          </w:p>
          <w:p>
            <w:pPr>
              <w:spacing w:line="240" w:lineRule="auto"/>
              <w:ind w:left="-118" w:leftChars="-37" w:right="-112" w:rightChars="-35" w:firstLine="0" w:firstLineChars="0"/>
              <w:jc w:val="left"/>
              <w:rPr>
                <w:rFonts w:ascii="仿宋_GB2312" w:hAnsi="宋体" w:cs="Times New Roman"/>
                <w:color w:val="auto"/>
                <w:sz w:val="21"/>
                <w:szCs w:val="21"/>
              </w:rPr>
            </w:pPr>
            <w:r>
              <w:rPr>
                <w:rFonts w:hint="eastAsia" w:ascii="仿宋_GB2312" w:hAnsi="宋体" w:cs="Times New Roman"/>
                <w:color w:val="auto"/>
                <w:sz w:val="21"/>
                <w:szCs w:val="21"/>
                <w:lang w:val="en-US" w:eastAsia="zh-CN"/>
              </w:rPr>
              <w:t>提供违约承诺函，得5分；未提供不得分。</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5%</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680" w:type="dxa"/>
            <w:tcBorders>
              <w:top w:val="single" w:color="auto" w:sz="4" w:space="0"/>
              <w:left w:val="single" w:color="auto" w:sz="8"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b/>
                <w:color w:val="auto"/>
                <w:sz w:val="21"/>
                <w:szCs w:val="21"/>
              </w:rPr>
            </w:pPr>
            <w:r>
              <w:rPr>
                <w:rFonts w:hint="eastAsia" w:ascii="仿宋_GB2312" w:hAnsi="宋体" w:cs="宋体"/>
                <w:b/>
                <w:color w:val="auto"/>
                <w:sz w:val="21"/>
                <w:szCs w:val="21"/>
              </w:rPr>
              <w:t>二</w:t>
            </w:r>
          </w:p>
        </w:tc>
        <w:tc>
          <w:tcPr>
            <w:tcW w:w="8467" w:type="dxa"/>
            <w:gridSpan w:val="4"/>
            <w:tcBorders>
              <w:top w:val="single" w:color="auto" w:sz="8" w:space="0"/>
              <w:left w:val="single" w:color="auto" w:sz="8"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b/>
                <w:color w:val="auto"/>
                <w:sz w:val="21"/>
                <w:szCs w:val="21"/>
              </w:rPr>
            </w:pPr>
            <w:r>
              <w:rPr>
                <w:rFonts w:hint="eastAsia" w:ascii="仿宋_GB2312" w:hAnsi="宋体" w:cs="宋体"/>
                <w:b/>
                <w:color w:val="auto"/>
                <w:sz w:val="21"/>
                <w:szCs w:val="21"/>
              </w:rPr>
              <w:t>商务部分</w:t>
            </w:r>
            <w:r>
              <w:rPr>
                <w:rFonts w:hint="eastAsia" w:ascii="仿宋_GB2312" w:hAnsi="宋体" w:cs="Times New Roman"/>
                <w:b/>
                <w:color w:val="auto"/>
                <w:sz w:val="21"/>
                <w:szCs w:val="21"/>
              </w:rPr>
              <w:t>（</w:t>
            </w:r>
            <w:r>
              <w:rPr>
                <w:rFonts w:ascii="仿宋_GB2312" w:hAnsi="宋体" w:cs="Times New Roman"/>
                <w:b/>
                <w:color w:val="auto"/>
                <w:sz w:val="21"/>
                <w:szCs w:val="21"/>
              </w:rPr>
              <w:t>45分）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8" w:space="0"/>
              <w:left w:val="single" w:color="auto" w:sz="8" w:space="0"/>
              <w:bottom w:val="single" w:color="auto" w:sz="4"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ascii="仿宋_GB2312" w:hAnsi="宋体" w:cs="Times New Roman"/>
                <w:color w:val="auto"/>
                <w:sz w:val="21"/>
                <w:szCs w:val="21"/>
              </w:rPr>
              <w:t>1</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left="-96" w:leftChars="-30" w:right="-134" w:rightChars="-42" w:firstLine="0" w:firstLineChars="0"/>
              <w:jc w:val="center"/>
              <w:rPr>
                <w:rFonts w:ascii="仿宋_GB2312" w:hAnsi="宋体" w:cs="宋体"/>
                <w:color w:val="auto"/>
                <w:sz w:val="21"/>
                <w:szCs w:val="21"/>
              </w:rPr>
            </w:pPr>
            <w:r>
              <w:rPr>
                <w:rFonts w:hint="eastAsia" w:ascii="仿宋_GB2312" w:hAnsi="宋体" w:cs="Times New Roman"/>
                <w:color w:val="auto"/>
                <w:sz w:val="21"/>
                <w:szCs w:val="21"/>
              </w:rPr>
              <w:t>投标人资质情况</w:t>
            </w:r>
          </w:p>
        </w:tc>
        <w:tc>
          <w:tcPr>
            <w:tcW w:w="563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left"/>
              <w:rPr>
                <w:rFonts w:ascii="仿宋_GB2312" w:hAnsi="宋体" w:cs="Times New Roman"/>
                <w:color w:val="auto"/>
                <w:sz w:val="21"/>
                <w:szCs w:val="24"/>
              </w:rPr>
            </w:pPr>
            <w:r>
              <w:rPr>
                <w:rFonts w:hint="eastAsia" w:ascii="仿宋_GB2312" w:hAnsi="宋体" w:cs="Times New Roman"/>
                <w:color w:val="auto"/>
                <w:sz w:val="21"/>
                <w:szCs w:val="24"/>
              </w:rPr>
              <w:t>投标人具有</w:t>
            </w:r>
            <w:r>
              <w:rPr>
                <w:rFonts w:ascii="仿宋_GB2312" w:hAnsi="宋体" w:cs="Times New Roman"/>
                <w:color w:val="auto"/>
                <w:sz w:val="21"/>
                <w:szCs w:val="24"/>
              </w:rPr>
              <w:t>ISO9001</w:t>
            </w:r>
            <w:r>
              <w:rPr>
                <w:rFonts w:hint="eastAsia" w:ascii="仿宋_GB2312" w:hAnsi="宋体" w:cs="Times New Roman"/>
                <w:color w:val="auto"/>
                <w:sz w:val="21"/>
                <w:szCs w:val="24"/>
              </w:rPr>
              <w:t>质量管理体系认证证书，得</w:t>
            </w:r>
            <w:r>
              <w:rPr>
                <w:rFonts w:ascii="仿宋_GB2312" w:hAnsi="宋体" w:cs="Times New Roman"/>
                <w:color w:val="auto"/>
                <w:sz w:val="21"/>
                <w:szCs w:val="24"/>
              </w:rPr>
              <w:t>4</w:t>
            </w:r>
            <w:r>
              <w:rPr>
                <w:rFonts w:hint="eastAsia" w:ascii="仿宋_GB2312" w:hAnsi="宋体" w:cs="Times New Roman"/>
                <w:color w:val="auto"/>
                <w:sz w:val="21"/>
                <w:szCs w:val="24"/>
              </w:rPr>
              <w:t>分；</w:t>
            </w:r>
          </w:p>
          <w:p>
            <w:pPr>
              <w:spacing w:line="240" w:lineRule="auto"/>
              <w:ind w:firstLine="0" w:firstLineChars="0"/>
              <w:jc w:val="left"/>
              <w:rPr>
                <w:rFonts w:ascii="仿宋_GB2312" w:hAnsi="宋体" w:cs="Times New Roman"/>
                <w:b/>
                <w:bCs/>
                <w:color w:val="auto"/>
                <w:sz w:val="21"/>
                <w:szCs w:val="21"/>
              </w:rPr>
            </w:pPr>
            <w:r>
              <w:rPr>
                <w:rFonts w:hint="eastAsia" w:ascii="仿宋_GB2312" w:hAnsi="宋体" w:cs="Times New Roman"/>
                <w:b/>
                <w:bCs/>
                <w:color w:val="auto"/>
                <w:sz w:val="21"/>
                <w:szCs w:val="21"/>
              </w:rPr>
              <w:t>评分依据：</w:t>
            </w:r>
            <w:r>
              <w:rPr>
                <w:rFonts w:hint="eastAsia" w:ascii="仿宋_GB2312" w:hAnsi="宋体" w:cs="Times New Roman"/>
                <w:color w:val="auto"/>
                <w:sz w:val="21"/>
                <w:szCs w:val="21"/>
              </w:rPr>
              <w:t>要求提供有效的资质证书作为得分依据。以上资料均要求提供复印件（或官方网站截图）。评分中出现无证明资料或专家无法凭所提供资料判断是否得分的情况，一律作不得分处理。</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96" w:leftChars="-30" w:right="-134" w:rightChars="-42" w:firstLine="0" w:firstLineChars="0"/>
              <w:jc w:val="center"/>
              <w:rPr>
                <w:rFonts w:ascii="仿宋_GB2312" w:hAnsi="宋体" w:cs="Times New Roman"/>
                <w:color w:val="auto"/>
                <w:sz w:val="21"/>
                <w:szCs w:val="21"/>
              </w:rPr>
            </w:pPr>
            <w:r>
              <w:rPr>
                <w:rFonts w:hint="eastAsia" w:ascii="仿宋_GB2312" w:hAnsi="宋体" w:cs="Times New Roman"/>
                <w:color w:val="auto"/>
                <w:sz w:val="21"/>
                <w:szCs w:val="21"/>
                <w:lang w:val="en-US" w:eastAsia="zh-CN"/>
              </w:rPr>
              <w:t>4</w:t>
            </w:r>
            <w:r>
              <w:rPr>
                <w:rFonts w:ascii="仿宋_GB2312" w:hAnsi="宋体" w:cs="Times New Roman"/>
                <w:color w:val="auto"/>
                <w:sz w:val="21"/>
                <w:szCs w:val="21"/>
              </w:rPr>
              <w:t>%</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hint="eastAsia" w:ascii="仿宋_GB2312" w:hAnsi="宋体" w:cs="宋体"/>
                <w:color w:val="auto"/>
                <w:sz w:val="21"/>
                <w:szCs w:val="21"/>
                <w:lang w:val="en-US" w:eastAsia="zh-CN"/>
              </w:rPr>
              <w:t>4</w:t>
            </w:r>
            <w:r>
              <w:rPr>
                <w:rFonts w:hint="eastAsia" w:ascii="仿宋_GB2312" w:hAnsi="宋体" w:cs="宋体"/>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left w:val="single" w:color="auto" w:sz="8" w:space="0"/>
              <w:bottom w:val="single" w:color="auto" w:sz="4"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ascii="仿宋_GB2312" w:hAnsi="宋体" w:cs="Times New Roman"/>
                <w:color w:val="auto"/>
                <w:sz w:val="21"/>
                <w:szCs w:val="21"/>
              </w:rPr>
              <w:t>2</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hint="eastAsia" w:ascii="仿宋_GB2312" w:hAnsi="宋体" w:cs="Times New Roman"/>
                <w:color w:val="auto"/>
                <w:sz w:val="21"/>
                <w:szCs w:val="21"/>
              </w:rPr>
              <w:t>投标人同类项目业绩情况</w:t>
            </w:r>
          </w:p>
        </w:tc>
        <w:tc>
          <w:tcPr>
            <w:tcW w:w="563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left"/>
              <w:rPr>
                <w:rFonts w:ascii="仿宋_GB2312" w:hAnsi="宋体" w:cs="Times New Roman"/>
                <w:color w:val="auto"/>
                <w:sz w:val="21"/>
                <w:szCs w:val="21"/>
              </w:rPr>
            </w:pPr>
            <w:r>
              <w:rPr>
                <w:rFonts w:ascii="仿宋_GB2312" w:hAnsi="宋体" w:cs="Times New Roman"/>
                <w:color w:val="auto"/>
                <w:sz w:val="21"/>
                <w:szCs w:val="21"/>
              </w:rPr>
              <w:t>2018年1月1日至本项目投标截止之日，</w:t>
            </w:r>
            <w:r>
              <w:rPr>
                <w:rFonts w:hint="eastAsia" w:ascii="仿宋_GB2312" w:hAnsi="宋体" w:cs="Times New Roman"/>
                <w:color w:val="auto"/>
                <w:sz w:val="21"/>
                <w:szCs w:val="21"/>
              </w:rPr>
              <w:t>预算绩效服务以及内部控制服务项目情况。</w:t>
            </w:r>
          </w:p>
          <w:p>
            <w:pPr>
              <w:spacing w:line="240" w:lineRule="auto"/>
              <w:ind w:firstLine="0" w:firstLineChars="0"/>
              <w:jc w:val="left"/>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1）</w:t>
            </w:r>
            <w:r>
              <w:rPr>
                <w:rFonts w:hint="eastAsia" w:ascii="仿宋_GB2312" w:hAnsi="宋体" w:cs="Times New Roman"/>
                <w:color w:val="auto"/>
                <w:sz w:val="21"/>
                <w:szCs w:val="21"/>
              </w:rPr>
              <w:t>具有绩效整体服务</w:t>
            </w:r>
            <w:r>
              <w:rPr>
                <w:rFonts w:hint="eastAsia" w:ascii="仿宋_GB2312" w:hAnsi="宋体" w:cs="Times New Roman"/>
                <w:color w:val="auto"/>
                <w:sz w:val="21"/>
                <w:szCs w:val="24"/>
              </w:rPr>
              <w:t>（包括绩效目标、绩效监控、绩效评价等预算绩效全过程服务）</w:t>
            </w:r>
            <w:r>
              <w:rPr>
                <w:rFonts w:hint="eastAsia" w:ascii="仿宋_GB2312" w:hAnsi="宋体" w:cs="Times New Roman"/>
                <w:color w:val="auto"/>
                <w:sz w:val="21"/>
                <w:szCs w:val="21"/>
              </w:rPr>
              <w:t>经验，每提供一个项目案例得</w:t>
            </w:r>
            <w:r>
              <w:rPr>
                <w:rFonts w:ascii="仿宋_GB2312" w:hAnsi="宋体" w:cs="Times New Roman"/>
                <w:color w:val="auto"/>
                <w:sz w:val="21"/>
                <w:szCs w:val="21"/>
              </w:rPr>
              <w:t>1分，最高得</w:t>
            </w:r>
            <w:r>
              <w:rPr>
                <w:rFonts w:hint="eastAsia" w:ascii="仿宋_GB2312" w:hAnsi="宋体" w:cs="Times New Roman"/>
                <w:color w:val="auto"/>
                <w:sz w:val="21"/>
                <w:szCs w:val="21"/>
                <w:lang w:val="en-US" w:eastAsia="zh-CN"/>
              </w:rPr>
              <w:t>8</w:t>
            </w:r>
            <w:r>
              <w:rPr>
                <w:rFonts w:hint="eastAsia" w:ascii="仿宋_GB2312" w:hAnsi="宋体" w:cs="Times New Roman"/>
                <w:color w:val="auto"/>
                <w:sz w:val="21"/>
                <w:szCs w:val="21"/>
              </w:rPr>
              <w:t>分。</w:t>
            </w:r>
          </w:p>
          <w:p>
            <w:pPr>
              <w:spacing w:line="240" w:lineRule="auto"/>
              <w:ind w:firstLine="0" w:firstLineChars="0"/>
              <w:jc w:val="left"/>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2</w:t>
            </w:r>
            <w:r>
              <w:rPr>
                <w:rFonts w:hint="eastAsia" w:ascii="仿宋_GB2312" w:hAnsi="宋体" w:cs="Times New Roman"/>
                <w:color w:val="auto"/>
                <w:sz w:val="21"/>
                <w:szCs w:val="21"/>
              </w:rPr>
              <w:t>）具有内部控制项目（内部控制体系建设或者内控风险评估）服务经验，每提供一个项目案例得</w:t>
            </w:r>
            <w:r>
              <w:rPr>
                <w:rFonts w:ascii="仿宋_GB2312" w:hAnsi="宋体" w:cs="Times New Roman"/>
                <w:color w:val="auto"/>
                <w:sz w:val="21"/>
                <w:szCs w:val="21"/>
              </w:rPr>
              <w:t>1分，最高得</w:t>
            </w:r>
            <w:r>
              <w:rPr>
                <w:rFonts w:hint="eastAsia" w:ascii="仿宋_GB2312" w:hAnsi="宋体" w:cs="Times New Roman"/>
                <w:color w:val="auto"/>
                <w:sz w:val="21"/>
                <w:szCs w:val="21"/>
                <w:lang w:val="en-US" w:eastAsia="zh-CN"/>
              </w:rPr>
              <w:t>8</w:t>
            </w:r>
            <w:r>
              <w:rPr>
                <w:rFonts w:ascii="仿宋_GB2312" w:hAnsi="宋体" w:cs="Times New Roman"/>
                <w:color w:val="auto"/>
                <w:sz w:val="21"/>
                <w:szCs w:val="21"/>
              </w:rPr>
              <w:t>分。</w:t>
            </w:r>
          </w:p>
          <w:p>
            <w:pPr>
              <w:spacing w:line="240" w:lineRule="auto"/>
              <w:ind w:firstLine="0" w:firstLineChars="0"/>
              <w:jc w:val="left"/>
              <w:rPr>
                <w:rFonts w:ascii="仿宋_GB2312" w:hAnsi="宋体" w:cs="Times New Roman"/>
                <w:color w:val="auto"/>
                <w:sz w:val="21"/>
                <w:szCs w:val="21"/>
              </w:rPr>
            </w:pPr>
            <w:r>
              <w:rPr>
                <w:rFonts w:hint="eastAsia" w:ascii="仿宋_GB2312" w:hAnsi="宋体" w:cs="Times New Roman"/>
                <w:color w:val="auto"/>
                <w:sz w:val="21"/>
                <w:szCs w:val="21"/>
              </w:rPr>
              <w:t>注：提供合同关键页（含签订合同双方的单位名称、合同项目名称、项目金额与含签订合同双方的落款盖章、签订日期的关键页）复印件加盖投标人公章，未提供或提供的不符合或提供不清晰导致无法判断的均不得分。</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96" w:leftChars="-30" w:right="-134" w:rightChars="-42" w:firstLine="0" w:firstLineChars="0"/>
              <w:jc w:val="center"/>
              <w:rPr>
                <w:rFonts w:ascii="仿宋_GB2312" w:hAnsi="宋体" w:cs="Times New Roman"/>
                <w:color w:val="auto"/>
                <w:sz w:val="21"/>
                <w:szCs w:val="21"/>
              </w:rPr>
            </w:pPr>
            <w:r>
              <w:rPr>
                <w:rFonts w:ascii="仿宋_GB2312" w:hAnsi="宋体" w:cs="Times New Roman"/>
                <w:color w:val="auto"/>
                <w:sz w:val="21"/>
                <w:szCs w:val="21"/>
              </w:rPr>
              <w:t>1</w:t>
            </w:r>
            <w:r>
              <w:rPr>
                <w:rFonts w:hint="eastAsia" w:ascii="仿宋_GB2312" w:hAnsi="宋体" w:cs="Times New Roman"/>
                <w:color w:val="auto"/>
                <w:sz w:val="21"/>
                <w:szCs w:val="21"/>
                <w:lang w:val="en-US" w:eastAsia="zh-CN"/>
              </w:rPr>
              <w:t>6</w:t>
            </w:r>
            <w:r>
              <w:rPr>
                <w:rFonts w:ascii="仿宋_GB2312" w:hAnsi="宋体" w:cs="Times New Roman"/>
                <w:color w:val="auto"/>
                <w:sz w:val="21"/>
                <w:szCs w:val="21"/>
              </w:rPr>
              <w:t>%</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1</w:t>
            </w:r>
            <w:r>
              <w:rPr>
                <w:rFonts w:hint="eastAsia" w:ascii="仿宋_GB2312" w:hAnsi="宋体" w:cs="宋体"/>
                <w:color w:val="auto"/>
                <w:sz w:val="21"/>
                <w:szCs w:val="21"/>
                <w:lang w:val="en-US" w:eastAsia="zh-CN"/>
              </w:rPr>
              <w:t>6</w:t>
            </w:r>
            <w:r>
              <w:rPr>
                <w:rFonts w:ascii="仿宋_GB2312" w:hAnsi="宋体" w:cs="宋体"/>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left w:val="single" w:color="auto" w:sz="8" w:space="0"/>
              <w:bottom w:val="single" w:color="auto" w:sz="4"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ascii="仿宋_GB2312" w:hAnsi="宋体" w:cs="Times New Roman"/>
                <w:color w:val="auto"/>
                <w:sz w:val="21"/>
                <w:szCs w:val="21"/>
              </w:rPr>
              <w:t>3</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hint="eastAsia" w:ascii="仿宋_GB2312" w:hAnsi="宋体" w:cs="Times New Roman"/>
                <w:color w:val="auto"/>
                <w:sz w:val="21"/>
                <w:szCs w:val="21"/>
              </w:rPr>
              <w:t>拟安排的项目负责人情况（仅限一人）</w:t>
            </w:r>
          </w:p>
        </w:tc>
        <w:tc>
          <w:tcPr>
            <w:tcW w:w="563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left"/>
              <w:rPr>
                <w:rFonts w:ascii="仿宋_GB2312" w:hAnsi="宋体" w:cs="Times New Roman"/>
                <w:color w:val="auto"/>
                <w:sz w:val="21"/>
                <w:szCs w:val="21"/>
              </w:rPr>
            </w:pPr>
            <w:r>
              <w:rPr>
                <w:rFonts w:hint="eastAsia" w:ascii="仿宋_GB2312" w:hAnsi="宋体" w:cs="Times New Roman"/>
                <w:color w:val="auto"/>
                <w:sz w:val="21"/>
                <w:szCs w:val="21"/>
              </w:rPr>
              <w:t>（</w:t>
            </w:r>
            <w:r>
              <w:rPr>
                <w:rFonts w:ascii="仿宋_GB2312" w:hAnsi="宋体" w:cs="Times New Roman"/>
                <w:color w:val="auto"/>
                <w:sz w:val="21"/>
                <w:szCs w:val="21"/>
              </w:rPr>
              <w:t>1）项目负责人为</w:t>
            </w:r>
            <w:r>
              <w:rPr>
                <w:rFonts w:hint="eastAsia" w:ascii="仿宋_GB2312" w:hAnsi="宋体" w:cs="Arial Unicode MS"/>
                <w:color w:val="auto"/>
                <w:sz w:val="21"/>
                <w:szCs w:val="21"/>
              </w:rPr>
              <w:t>注册会计师或具有项目管理师（</w:t>
            </w:r>
            <w:r>
              <w:rPr>
                <w:rFonts w:ascii="仿宋_GB2312" w:hAnsi="宋体" w:cs="Arial Unicode MS"/>
                <w:color w:val="auto"/>
                <w:sz w:val="21"/>
                <w:szCs w:val="21"/>
              </w:rPr>
              <w:t>PMP）资格</w:t>
            </w:r>
            <w:r>
              <w:rPr>
                <w:rFonts w:hint="eastAsia" w:ascii="仿宋_GB2312" w:hAnsi="宋体" w:cs="Times New Roman"/>
                <w:color w:val="auto"/>
                <w:sz w:val="21"/>
                <w:szCs w:val="21"/>
              </w:rPr>
              <w:t>得</w:t>
            </w:r>
            <w:r>
              <w:rPr>
                <w:rFonts w:ascii="仿宋_GB2312" w:hAnsi="宋体" w:cs="Times New Roman"/>
                <w:color w:val="auto"/>
                <w:sz w:val="21"/>
                <w:szCs w:val="21"/>
              </w:rPr>
              <w:t>3</w:t>
            </w:r>
            <w:r>
              <w:rPr>
                <w:rFonts w:hint="eastAsia" w:ascii="仿宋_GB2312" w:hAnsi="宋体" w:cs="Times New Roman"/>
                <w:color w:val="auto"/>
                <w:sz w:val="21"/>
                <w:szCs w:val="21"/>
              </w:rPr>
              <w:t>分，其它情况不得分。</w:t>
            </w:r>
          </w:p>
          <w:p>
            <w:pPr>
              <w:spacing w:line="240" w:lineRule="auto"/>
              <w:ind w:firstLine="0" w:firstLineChars="0"/>
              <w:jc w:val="left"/>
              <w:rPr>
                <w:rFonts w:ascii="仿宋_GB2312"/>
                <w:color w:val="auto"/>
              </w:rPr>
            </w:pPr>
            <w:r>
              <w:rPr>
                <w:rFonts w:hint="eastAsia" w:ascii="仿宋_GB2312" w:hAnsi="宋体" w:cs="Times New Roman"/>
                <w:color w:val="auto"/>
                <w:sz w:val="21"/>
                <w:szCs w:val="21"/>
              </w:rPr>
              <w:t>（</w:t>
            </w:r>
            <w:r>
              <w:rPr>
                <w:rFonts w:ascii="仿宋_GB2312" w:hAnsi="宋体" w:cs="Times New Roman"/>
                <w:color w:val="auto"/>
                <w:sz w:val="21"/>
                <w:szCs w:val="21"/>
              </w:rPr>
              <w:t>2）项目负责人</w:t>
            </w:r>
            <w:r>
              <w:rPr>
                <w:rFonts w:hint="eastAsia" w:ascii="仿宋_GB2312" w:hAnsi="宋体" w:cs="Times New Roman"/>
                <w:color w:val="auto"/>
                <w:sz w:val="21"/>
                <w:szCs w:val="21"/>
              </w:rPr>
              <w:t>同时</w:t>
            </w:r>
            <w:r>
              <w:rPr>
                <w:rFonts w:ascii="仿宋_GB2312" w:hAnsi="宋体" w:cs="Times New Roman"/>
                <w:color w:val="auto"/>
                <w:sz w:val="21"/>
                <w:szCs w:val="21"/>
              </w:rPr>
              <w:t>具有预算绩效整体服务（包括绩效目标、绩效监控、绩效评价等预算绩效全过程服务）</w:t>
            </w:r>
            <w:r>
              <w:rPr>
                <w:rFonts w:hint="eastAsia" w:ascii="仿宋_GB2312" w:hAnsi="宋体" w:cs="Times New Roman"/>
                <w:color w:val="auto"/>
                <w:sz w:val="21"/>
                <w:szCs w:val="21"/>
              </w:rPr>
              <w:t>以及内控</w:t>
            </w:r>
            <w:r>
              <w:rPr>
                <w:rFonts w:ascii="仿宋_GB2312" w:hAnsi="宋体" w:cs="Times New Roman"/>
                <w:color w:val="auto"/>
                <w:sz w:val="21"/>
                <w:szCs w:val="21"/>
              </w:rPr>
              <w:t>项目</w:t>
            </w:r>
            <w:r>
              <w:rPr>
                <w:rFonts w:hint="eastAsia" w:ascii="仿宋_GB2312" w:hAnsi="宋体" w:cs="Times New Roman"/>
                <w:color w:val="auto"/>
                <w:sz w:val="21"/>
                <w:szCs w:val="21"/>
              </w:rPr>
              <w:t>（内部控制体系建设或者内控风险评估）服务</w:t>
            </w:r>
            <w:r>
              <w:rPr>
                <w:rFonts w:ascii="仿宋_GB2312" w:hAnsi="宋体" w:cs="Times New Roman"/>
                <w:color w:val="auto"/>
                <w:sz w:val="21"/>
                <w:szCs w:val="21"/>
              </w:rPr>
              <w:t>经验</w:t>
            </w:r>
            <w:r>
              <w:rPr>
                <w:rFonts w:hint="eastAsia" w:ascii="仿宋_GB2312" w:hAnsi="宋体" w:cs="Times New Roman"/>
                <w:color w:val="auto"/>
                <w:sz w:val="21"/>
                <w:szCs w:val="21"/>
              </w:rPr>
              <w:t>得</w:t>
            </w:r>
            <w:r>
              <w:rPr>
                <w:rFonts w:ascii="仿宋_GB2312" w:hAnsi="宋体" w:cs="Times New Roman"/>
                <w:color w:val="auto"/>
                <w:sz w:val="21"/>
                <w:szCs w:val="21"/>
              </w:rPr>
              <w:t>3分，</w:t>
            </w:r>
            <w:r>
              <w:rPr>
                <w:rFonts w:hint="eastAsia" w:ascii="仿宋_GB2312" w:hAnsi="宋体" w:cs="Times New Roman"/>
                <w:color w:val="auto"/>
                <w:sz w:val="21"/>
                <w:szCs w:val="21"/>
              </w:rPr>
              <w:t>其它情况不得分。</w:t>
            </w:r>
          </w:p>
          <w:p>
            <w:pPr>
              <w:spacing w:line="240" w:lineRule="auto"/>
              <w:ind w:firstLine="0" w:firstLineChars="0"/>
              <w:jc w:val="left"/>
              <w:rPr>
                <w:rFonts w:ascii="仿宋_GB2312" w:hAnsi="宋体" w:cs="宋体"/>
                <w:color w:val="auto"/>
                <w:sz w:val="21"/>
                <w:szCs w:val="21"/>
              </w:rPr>
            </w:pPr>
            <w:r>
              <w:rPr>
                <w:rFonts w:hint="eastAsia" w:ascii="仿宋_GB2312" w:hAnsi="宋体" w:cs="Times New Roman"/>
                <w:color w:val="auto"/>
                <w:sz w:val="21"/>
                <w:szCs w:val="21"/>
              </w:rPr>
              <w:t>须提供资格证书、合同关键页（含签订合同双方的单位名称、合同项目名称、项目金额与含签订合同双方的落款盖章、签订日期的关键页，须体现负责人姓名）或相关证明材料（合同甲方出具的证明材料）作为得分依据，以上材料均要求复印件加盖投标人公章。</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96" w:leftChars="-30" w:right="-134" w:rightChars="-42" w:firstLine="0" w:firstLineChars="0"/>
              <w:jc w:val="center"/>
              <w:rPr>
                <w:rFonts w:ascii="仿宋_GB2312" w:hAnsi="宋体" w:cs="Times New Roman"/>
                <w:color w:val="auto"/>
                <w:sz w:val="21"/>
                <w:szCs w:val="21"/>
              </w:rPr>
            </w:pPr>
            <w:r>
              <w:rPr>
                <w:rFonts w:ascii="仿宋_GB2312" w:hAnsi="宋体" w:cs="Times New Roman"/>
                <w:color w:val="auto"/>
                <w:sz w:val="21"/>
                <w:szCs w:val="21"/>
              </w:rPr>
              <w:t>6%</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6</w:t>
            </w:r>
            <w:r>
              <w:rPr>
                <w:rFonts w:hint="eastAsia" w:ascii="仿宋_GB2312" w:hAnsi="宋体" w:cs="宋体"/>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680" w:type="dxa"/>
            <w:tcBorders>
              <w:top w:val="single" w:color="auto" w:sz="4" w:space="0"/>
              <w:left w:val="single" w:color="auto" w:sz="8" w:space="0"/>
              <w:bottom w:val="single" w:color="auto" w:sz="4"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ascii="仿宋_GB2312" w:hAnsi="宋体" w:cs="Times New Roman"/>
                <w:color w:val="auto"/>
                <w:sz w:val="21"/>
                <w:szCs w:val="21"/>
              </w:rPr>
              <w:t>4</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hint="eastAsia" w:ascii="仿宋_GB2312" w:hAnsi="宋体" w:cs="Times New Roman"/>
                <w:color w:val="auto"/>
                <w:sz w:val="21"/>
                <w:szCs w:val="21"/>
              </w:rPr>
              <w:t>拟安排的项目主要团队成员（主要技术人员）情况（项目负责人除外）</w:t>
            </w:r>
          </w:p>
        </w:tc>
        <w:tc>
          <w:tcPr>
            <w:tcW w:w="563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uto"/>
              <w:ind w:firstLine="0" w:firstLineChars="0"/>
              <w:rPr>
                <w:rFonts w:ascii="仿宋_GB2312" w:hAnsi="宋体" w:cs="宋体"/>
                <w:color w:val="auto"/>
                <w:sz w:val="21"/>
                <w:szCs w:val="21"/>
              </w:rPr>
            </w:pPr>
            <w:r>
              <w:rPr>
                <w:rFonts w:hint="eastAsia" w:ascii="仿宋_GB2312" w:hAnsi="宋体" w:cs="宋体"/>
                <w:color w:val="auto"/>
                <w:sz w:val="21"/>
                <w:szCs w:val="21"/>
              </w:rPr>
              <w:t>团队成员有注册会计师或中级或以上会计师职称的，每安排</w:t>
            </w:r>
            <w:r>
              <w:rPr>
                <w:rFonts w:ascii="仿宋_GB2312" w:hAnsi="宋体" w:cs="宋体"/>
                <w:color w:val="auto"/>
                <w:sz w:val="21"/>
                <w:szCs w:val="21"/>
              </w:rPr>
              <w:t>1名得2分，最高4分；具有国际注册内部控制师CICS证书，每安排1名得5</w:t>
            </w:r>
            <w:r>
              <w:rPr>
                <w:rFonts w:hint="eastAsia" w:ascii="仿宋_GB2312" w:hAnsi="宋体" w:cs="宋体"/>
                <w:color w:val="auto"/>
                <w:sz w:val="21"/>
                <w:szCs w:val="21"/>
              </w:rPr>
              <w:t>分，最高</w:t>
            </w:r>
            <w:r>
              <w:rPr>
                <w:rFonts w:ascii="仿宋_GB2312" w:hAnsi="宋体" w:cs="宋体"/>
                <w:color w:val="auto"/>
                <w:sz w:val="21"/>
                <w:szCs w:val="21"/>
              </w:rPr>
              <w:t>5</w:t>
            </w:r>
            <w:r>
              <w:rPr>
                <w:rFonts w:hint="eastAsia" w:ascii="仿宋_GB2312" w:hAnsi="宋体" w:cs="宋体"/>
                <w:color w:val="auto"/>
                <w:sz w:val="21"/>
                <w:szCs w:val="21"/>
              </w:rPr>
              <w:t>分；</w:t>
            </w:r>
            <w:r>
              <w:rPr>
                <w:rFonts w:ascii="仿宋_GB2312" w:hAnsi="宋体" w:cs="宋体"/>
                <w:color w:val="auto"/>
                <w:sz w:val="21"/>
                <w:szCs w:val="21"/>
              </w:rPr>
              <w:t xml:space="preserve"> </w:t>
            </w:r>
          </w:p>
          <w:p>
            <w:pPr>
              <w:adjustRightInd w:val="0"/>
              <w:snapToGrid w:val="0"/>
              <w:spacing w:line="240" w:lineRule="auto"/>
              <w:ind w:firstLine="0" w:firstLineChars="0"/>
              <w:rPr>
                <w:rFonts w:ascii="仿宋_GB2312" w:hAnsi="宋体" w:cs="宋体"/>
                <w:color w:val="auto"/>
                <w:sz w:val="21"/>
                <w:szCs w:val="21"/>
              </w:rPr>
            </w:pPr>
            <w:r>
              <w:rPr>
                <w:rFonts w:hint="eastAsia" w:ascii="仿宋_GB2312" w:hAnsi="宋体" w:cs="宋体"/>
                <w:color w:val="auto"/>
                <w:sz w:val="21"/>
                <w:szCs w:val="21"/>
              </w:rPr>
              <w:t>同一人如满足多项得分要求，则按照得分最高的进行计分，不重复计分，合计最高</w:t>
            </w:r>
            <w:r>
              <w:rPr>
                <w:rFonts w:ascii="仿宋_GB2312" w:hAnsi="宋体" w:cs="宋体"/>
                <w:color w:val="auto"/>
                <w:sz w:val="21"/>
                <w:szCs w:val="21"/>
              </w:rPr>
              <w:t>9</w:t>
            </w:r>
            <w:r>
              <w:rPr>
                <w:rFonts w:hint="eastAsia" w:ascii="仿宋_GB2312" w:hAnsi="宋体" w:cs="宋体"/>
                <w:color w:val="auto"/>
                <w:sz w:val="21"/>
                <w:szCs w:val="21"/>
              </w:rPr>
              <w:t>分。</w:t>
            </w:r>
          </w:p>
          <w:p>
            <w:pPr>
              <w:adjustRightInd w:val="0"/>
              <w:snapToGrid w:val="0"/>
              <w:spacing w:line="240" w:lineRule="auto"/>
              <w:ind w:firstLine="0" w:firstLineChars="0"/>
              <w:rPr>
                <w:rFonts w:ascii="仿宋_GB2312" w:hAnsi="宋体" w:cs="宋体"/>
                <w:color w:val="auto"/>
                <w:sz w:val="21"/>
                <w:szCs w:val="21"/>
              </w:rPr>
            </w:pPr>
            <w:r>
              <w:rPr>
                <w:rFonts w:hint="eastAsia" w:ascii="仿宋_GB2312" w:hAnsi="宋体" w:cs="宋体"/>
                <w:color w:val="auto"/>
                <w:sz w:val="21"/>
                <w:szCs w:val="21"/>
              </w:rPr>
              <w:t>须提供资格证书作为相关证明材料，未提供或无法判断则不得分。</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9%</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9</w:t>
            </w:r>
            <w:r>
              <w:rPr>
                <w:rFonts w:hint="eastAsia" w:ascii="仿宋_GB2312" w:hAnsi="宋体" w:cs="宋体"/>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ascii="仿宋_GB2312" w:hAnsi="宋体" w:cs="Times New Roman"/>
                <w:color w:val="auto"/>
                <w:sz w:val="21"/>
                <w:szCs w:val="21"/>
              </w:rPr>
              <w:t>5</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宋体"/>
                <w:color w:val="auto"/>
                <w:sz w:val="21"/>
                <w:szCs w:val="24"/>
              </w:rPr>
            </w:pPr>
            <w:r>
              <w:rPr>
                <w:rFonts w:hint="eastAsia" w:ascii="仿宋_GB2312" w:hAnsi="宋体" w:cs="Times New Roman"/>
                <w:color w:val="auto"/>
                <w:sz w:val="21"/>
                <w:szCs w:val="21"/>
              </w:rPr>
              <w:t>本地服务能力</w:t>
            </w:r>
          </w:p>
        </w:tc>
        <w:tc>
          <w:tcPr>
            <w:tcW w:w="563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left"/>
              <w:rPr>
                <w:rFonts w:ascii="仿宋_GB2312" w:hAnsi="宋体" w:cs="Times New Roman"/>
                <w:color w:val="auto"/>
                <w:sz w:val="21"/>
                <w:szCs w:val="24"/>
              </w:rPr>
            </w:pPr>
            <w:r>
              <w:rPr>
                <w:rFonts w:hint="eastAsia" w:ascii="仿宋_GB2312" w:hAnsi="宋体" w:cs="Times New Roman"/>
                <w:color w:val="auto"/>
                <w:sz w:val="21"/>
                <w:szCs w:val="24"/>
                <w:lang w:val="en-US" w:eastAsia="zh-CN"/>
              </w:rPr>
              <w:t>投标人为深圳供应商，或非深圳供应商但承诺中标后在深圳设立服务点的，提供营业执照或承诺函，得5分；未提供不得分。</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96" w:leftChars="-30" w:right="-134" w:rightChars="-42" w:firstLine="0" w:firstLineChars="0"/>
              <w:jc w:val="center"/>
              <w:rPr>
                <w:rFonts w:ascii="仿宋_GB2312" w:hAnsi="宋体" w:cs="Times New Roman"/>
                <w:color w:val="auto"/>
                <w:sz w:val="21"/>
                <w:szCs w:val="21"/>
              </w:rPr>
            </w:pPr>
            <w:r>
              <w:rPr>
                <w:rFonts w:ascii="仿宋_GB2312" w:hAnsi="宋体" w:cs="Times New Roman"/>
                <w:color w:val="auto"/>
                <w:sz w:val="21"/>
                <w:szCs w:val="21"/>
              </w:rPr>
              <w:t>5%</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ascii="仿宋_GB2312" w:hAnsi="宋体" w:cs="Times New Roman"/>
                <w:color w:val="auto"/>
                <w:sz w:val="21"/>
                <w:szCs w:val="21"/>
              </w:rPr>
              <w:t>6</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bCs/>
                <w:color w:val="auto"/>
                <w:sz w:val="21"/>
                <w:szCs w:val="24"/>
                <w:highlight w:val="green"/>
              </w:rPr>
            </w:pPr>
            <w:r>
              <w:rPr>
                <w:rFonts w:hint="eastAsia" w:ascii="仿宋_GB2312" w:hAnsi="宋体" w:cs="宋体"/>
                <w:color w:val="auto"/>
                <w:sz w:val="21"/>
                <w:szCs w:val="24"/>
              </w:rPr>
              <w:t>诚信情况</w:t>
            </w:r>
          </w:p>
        </w:tc>
        <w:tc>
          <w:tcPr>
            <w:tcW w:w="563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left"/>
              <w:rPr>
                <w:rFonts w:ascii="仿宋_GB2312" w:hAnsi="宋体" w:cs="Times New Roman"/>
                <w:color w:val="auto"/>
                <w:sz w:val="21"/>
                <w:szCs w:val="21"/>
                <w:highlight w:val="yellow"/>
              </w:rPr>
            </w:pPr>
            <w:r>
              <w:rPr>
                <w:rFonts w:hint="eastAsia" w:ascii="仿宋_GB2312" w:hAnsi="宋体" w:cs="Times New Roman"/>
                <w:color w:val="auto"/>
                <w:sz w:val="21"/>
                <w:szCs w:val="24"/>
              </w:rPr>
              <w:t>根据《深圳市财政委员会关于加强招投标评审环节诚信管理的通知》（深财购</w:t>
            </w:r>
            <w:r>
              <w:rPr>
                <w:rFonts w:ascii="仿宋_GB2312" w:hAnsi="宋体" w:cs="Times New Roman"/>
                <w:color w:val="auto"/>
                <w:sz w:val="21"/>
                <w:szCs w:val="24"/>
              </w:rPr>
              <w:t>[2013]27号）相关规定，投标人在参与政府采购活动中出现诚信相关问题且在相关主管部门处理措施实施期限内的本项不得分，否则得满分。投标人无需提供任何证明材料，由工作人员向评审委员会提供相关信息。</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118" w:leftChars="-37" w:right="-112" w:rightChars="-35" w:firstLine="0" w:firstLineChars="0"/>
              <w:jc w:val="center"/>
              <w:rPr>
                <w:rFonts w:ascii="仿宋_GB2312" w:hAnsi="宋体" w:cs="Times New Roman"/>
                <w:color w:val="auto"/>
                <w:sz w:val="21"/>
                <w:szCs w:val="21"/>
              </w:rPr>
            </w:pPr>
            <w:r>
              <w:rPr>
                <w:rFonts w:ascii="仿宋_GB2312" w:hAnsi="宋体" w:cs="Times New Roman"/>
                <w:color w:val="auto"/>
                <w:sz w:val="21"/>
                <w:szCs w:val="21"/>
              </w:rPr>
              <w:t>5%</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680" w:type="dxa"/>
            <w:tcBorders>
              <w:top w:val="single" w:color="auto" w:sz="4"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b/>
                <w:color w:val="auto"/>
                <w:sz w:val="21"/>
                <w:szCs w:val="21"/>
              </w:rPr>
            </w:pPr>
            <w:r>
              <w:rPr>
                <w:rFonts w:hint="eastAsia" w:ascii="仿宋_GB2312" w:hAnsi="宋体" w:cs="Times New Roman"/>
                <w:b/>
                <w:color w:val="auto"/>
                <w:sz w:val="21"/>
                <w:szCs w:val="21"/>
              </w:rPr>
              <w:t>三</w:t>
            </w:r>
          </w:p>
        </w:tc>
        <w:tc>
          <w:tcPr>
            <w:tcW w:w="8467" w:type="dxa"/>
            <w:gridSpan w:val="4"/>
            <w:tcBorders>
              <w:top w:val="single" w:color="auto" w:sz="8" w:space="0"/>
              <w:left w:val="single" w:color="auto" w:sz="8"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b/>
                <w:color w:val="auto"/>
                <w:sz w:val="21"/>
                <w:szCs w:val="21"/>
              </w:rPr>
            </w:pPr>
            <w:r>
              <w:rPr>
                <w:rFonts w:hint="eastAsia" w:ascii="仿宋_GB2312" w:hAnsi="宋体" w:cs="Times New Roman"/>
                <w:b/>
                <w:color w:val="auto"/>
                <w:sz w:val="21"/>
                <w:szCs w:val="21"/>
              </w:rPr>
              <w:t>价格部分（</w:t>
            </w:r>
            <w:r>
              <w:rPr>
                <w:rFonts w:ascii="仿宋_GB2312" w:hAnsi="宋体" w:cs="Times New Roman"/>
                <w:b/>
                <w:color w:val="auto"/>
                <w:sz w:val="21"/>
                <w:szCs w:val="21"/>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82" w:hRule="atLeast"/>
          <w:jc w:val="center"/>
        </w:trPr>
        <w:tc>
          <w:tcPr>
            <w:tcW w:w="680"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ascii="仿宋_GB2312" w:hAnsi="宋体" w:cs="Times New Roman"/>
                <w:color w:val="auto"/>
                <w:sz w:val="21"/>
                <w:szCs w:val="21"/>
              </w:rPr>
              <w:t>1</w:t>
            </w:r>
          </w:p>
        </w:tc>
        <w:tc>
          <w:tcPr>
            <w:tcW w:w="1355" w:type="dxa"/>
            <w:tcBorders>
              <w:top w:val="single" w:color="auto" w:sz="8" w:space="0"/>
              <w:left w:val="single" w:color="auto" w:sz="8" w:space="0"/>
              <w:bottom w:val="single" w:color="auto" w:sz="8" w:space="0"/>
              <w:right w:val="single" w:color="auto" w:sz="8" w:space="0"/>
            </w:tcBorders>
            <w:vAlign w:val="center"/>
          </w:tcPr>
          <w:p>
            <w:pPr>
              <w:spacing w:line="240" w:lineRule="auto"/>
              <w:ind w:firstLine="0" w:firstLineChars="0"/>
              <w:jc w:val="center"/>
              <w:rPr>
                <w:rFonts w:ascii="仿宋_GB2312" w:hAnsi="宋体" w:cs="Times New Roman"/>
                <w:color w:val="auto"/>
                <w:sz w:val="21"/>
                <w:szCs w:val="21"/>
              </w:rPr>
            </w:pPr>
            <w:r>
              <w:rPr>
                <w:rFonts w:hint="eastAsia" w:ascii="仿宋_GB2312" w:hAnsi="宋体" w:cs="Times New Roman"/>
                <w:color w:val="auto"/>
                <w:sz w:val="21"/>
                <w:szCs w:val="21"/>
              </w:rPr>
              <w:t>投标报价</w:t>
            </w:r>
          </w:p>
        </w:tc>
        <w:tc>
          <w:tcPr>
            <w:tcW w:w="5635"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240" w:lineRule="auto"/>
              <w:ind w:firstLine="0" w:firstLineChars="0"/>
              <w:rPr>
                <w:rFonts w:ascii="仿宋_GB2312" w:hAnsi="宋体" w:cs="宋体"/>
                <w:color w:val="auto"/>
                <w:kern w:val="0"/>
                <w:sz w:val="21"/>
                <w:szCs w:val="21"/>
              </w:rPr>
            </w:pPr>
            <w:r>
              <w:rPr>
                <w:rFonts w:hint="eastAsia" w:ascii="仿宋_GB2312" w:hAnsi="宋体" w:cs="宋体"/>
                <w:color w:val="auto"/>
                <w:kern w:val="0"/>
                <w:sz w:val="21"/>
                <w:szCs w:val="21"/>
              </w:rPr>
              <w:t>价格分应当采用低价优先法计算，即满足招标文件要求且投标价格最低的投标报价为评标基准价，其价格分为满分。其他投标人的价格分统一按照下列公式计算：</w:t>
            </w:r>
          </w:p>
          <w:p>
            <w:pPr>
              <w:widowControl/>
              <w:spacing w:line="240" w:lineRule="auto"/>
              <w:ind w:firstLine="0" w:firstLineChars="0"/>
              <w:jc w:val="left"/>
              <w:rPr>
                <w:rFonts w:ascii="仿宋_GB2312" w:hAnsi="宋体" w:cs="宋体"/>
                <w:color w:val="auto"/>
                <w:kern w:val="0"/>
                <w:sz w:val="21"/>
                <w:szCs w:val="21"/>
              </w:rPr>
            </w:pPr>
            <w:r>
              <w:rPr>
                <w:rFonts w:hint="eastAsia" w:ascii="仿宋_GB2312" w:hAnsi="宋体" w:cs="宋体"/>
                <w:color w:val="auto"/>
                <w:kern w:val="0"/>
                <w:sz w:val="21"/>
                <w:szCs w:val="21"/>
              </w:rPr>
              <w:t>投标报价得分</w:t>
            </w:r>
            <w:r>
              <w:rPr>
                <w:rFonts w:ascii="仿宋_GB2312" w:hAnsi="宋体" w:cs="宋体"/>
                <w:color w:val="auto"/>
                <w:kern w:val="0"/>
                <w:sz w:val="21"/>
                <w:szCs w:val="21"/>
              </w:rPr>
              <w:t>=(评标基准价／投标报价)×100×权重</w:t>
            </w:r>
          </w:p>
          <w:p>
            <w:pPr>
              <w:widowControl/>
              <w:spacing w:line="240" w:lineRule="auto"/>
              <w:ind w:firstLine="0" w:firstLineChars="0"/>
              <w:jc w:val="left"/>
              <w:rPr>
                <w:rFonts w:ascii="仿宋_GB2312" w:hAnsi="宋体" w:cs="Times New Roman"/>
                <w:b/>
                <w:bCs/>
                <w:color w:val="auto"/>
                <w:sz w:val="21"/>
                <w:szCs w:val="24"/>
                <w:u w:val="double"/>
              </w:rPr>
            </w:pPr>
            <w:r>
              <w:rPr>
                <w:rFonts w:hint="eastAsia" w:ascii="仿宋_GB2312" w:hAnsi="宋体" w:cs="Times New Roman"/>
                <w:bCs/>
                <w:color w:val="auto"/>
                <w:sz w:val="21"/>
                <w:szCs w:val="24"/>
              </w:rPr>
              <w:t>备注：投标报价得分四舍五入后，</w:t>
            </w:r>
            <w:r>
              <w:rPr>
                <w:rFonts w:hint="eastAsia" w:ascii="仿宋_GB2312" w:hAnsi="宋体" w:cs="Arial"/>
                <w:color w:val="auto"/>
                <w:sz w:val="21"/>
                <w:szCs w:val="20"/>
              </w:rPr>
              <w:t>小数点后保留两位有效数</w:t>
            </w:r>
            <w:r>
              <w:rPr>
                <w:rFonts w:hint="eastAsia" w:ascii="仿宋_GB2312" w:hAnsi="宋体" w:cs="Times New Roman"/>
                <w:bCs/>
                <w:color w:val="auto"/>
                <w:sz w:val="21"/>
                <w:szCs w:val="24"/>
              </w:rPr>
              <w:t>。</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 xml:space="preserve">20% </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Times New Roman"/>
                <w:color w:val="auto"/>
                <w:sz w:val="21"/>
                <w:szCs w:val="21"/>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7670" w:type="dxa"/>
            <w:gridSpan w:val="3"/>
            <w:tcBorders>
              <w:top w:val="single" w:color="auto" w:sz="8" w:space="0"/>
              <w:left w:val="single" w:color="auto" w:sz="8"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hint="eastAsia" w:ascii="仿宋_GB2312" w:hAnsi="宋体" w:cs="Times New Roman"/>
                <w:color w:val="auto"/>
                <w:sz w:val="21"/>
                <w:szCs w:val="21"/>
              </w:rPr>
              <w:t>合计</w:t>
            </w:r>
          </w:p>
        </w:tc>
        <w:tc>
          <w:tcPr>
            <w:tcW w:w="780" w:type="dxa"/>
            <w:tcBorders>
              <w:top w:val="single" w:color="auto" w:sz="8" w:space="0"/>
              <w:left w:val="single" w:color="auto" w:sz="8" w:space="0"/>
              <w:bottom w:val="single" w:color="auto" w:sz="8" w:space="0"/>
              <w:right w:val="single" w:color="auto" w:sz="4"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100%</w:t>
            </w:r>
          </w:p>
        </w:tc>
        <w:tc>
          <w:tcPr>
            <w:tcW w:w="697" w:type="dxa"/>
            <w:tcBorders>
              <w:top w:val="single" w:color="auto" w:sz="8" w:space="0"/>
              <w:left w:val="single" w:color="auto" w:sz="4" w:space="0"/>
              <w:bottom w:val="single" w:color="auto" w:sz="8" w:space="0"/>
              <w:right w:val="single" w:color="auto" w:sz="8" w:space="0"/>
            </w:tcBorders>
            <w:vAlign w:val="center"/>
          </w:tcPr>
          <w:p>
            <w:pPr>
              <w:spacing w:line="240" w:lineRule="auto"/>
              <w:ind w:left="-118" w:leftChars="-37" w:right="-112" w:rightChars="-35" w:firstLine="0" w:firstLineChars="0"/>
              <w:jc w:val="center"/>
              <w:rPr>
                <w:rFonts w:ascii="仿宋_GB2312" w:hAnsi="宋体" w:cs="宋体"/>
                <w:color w:val="auto"/>
                <w:sz w:val="21"/>
                <w:szCs w:val="21"/>
              </w:rPr>
            </w:pPr>
            <w:r>
              <w:rPr>
                <w:rFonts w:ascii="仿宋_GB2312" w:hAnsi="宋体" w:cs="宋体"/>
                <w:color w:val="auto"/>
                <w:sz w:val="21"/>
                <w:szCs w:val="21"/>
              </w:rPr>
              <w:t>100分</w:t>
            </w:r>
          </w:p>
        </w:tc>
      </w:tr>
    </w:tbl>
    <w:p>
      <w:pPr>
        <w:ind w:firstLine="643"/>
        <w:rPr>
          <w:rFonts w:hint="eastAsia" w:ascii="仿宋_GB2312" w:hAnsi="宋体" w:cs="Times New Roman"/>
          <w:b/>
          <w:color w:val="auto"/>
          <w:szCs w:val="21"/>
        </w:rPr>
      </w:pPr>
      <w:r>
        <w:rPr>
          <w:rFonts w:hint="eastAsia" w:ascii="仿宋_GB2312" w:hAnsi="宋体" w:cs="Times New Roman"/>
          <w:b/>
          <w:color w:val="auto"/>
          <w:szCs w:val="21"/>
        </w:rPr>
        <w:t>说明：</w:t>
      </w:r>
    </w:p>
    <w:p>
      <w:pPr>
        <w:ind w:firstLine="643"/>
        <w:rPr>
          <w:rFonts w:ascii="仿宋_GB2312" w:hAnsi="宋体" w:cs="Times New Roman"/>
          <w:color w:val="auto"/>
          <w:szCs w:val="21"/>
        </w:rPr>
      </w:pPr>
      <w:r>
        <w:rPr>
          <w:rFonts w:hint="eastAsia" w:ascii="仿宋_GB2312" w:hAnsi="宋体" w:cs="Times New Roman"/>
          <w:color w:val="auto"/>
          <w:szCs w:val="21"/>
        </w:rPr>
        <w:t>1.本评分表中每一栏的得分最高不得超过该项评审指标的分值。</w:t>
      </w:r>
    </w:p>
    <w:p>
      <w:pPr>
        <w:rPr>
          <w:rFonts w:ascii="仿宋_GB2312" w:hAnsi="宋体" w:cs="Times New Roman"/>
          <w:color w:val="auto"/>
          <w:szCs w:val="21"/>
        </w:rPr>
      </w:pPr>
      <w:r>
        <w:rPr>
          <w:rFonts w:hint="eastAsia" w:ascii="仿宋_GB2312" w:hAnsi="宋体" w:cs="Times New Roman"/>
          <w:color w:val="auto"/>
          <w:szCs w:val="21"/>
        </w:rPr>
        <w:t>2.表中要求提供相关计分证明文件的内容，投标文件中须明确加以说明，未按要求提供相关文件或说明不清楚的按不符合要求处理。</w:t>
      </w:r>
    </w:p>
    <w:p>
      <w:pPr>
        <w:rPr>
          <w:rFonts w:ascii="仿宋_GB2312" w:hAnsi="宋体" w:cs="Times New Roman"/>
          <w:color w:val="auto"/>
          <w:szCs w:val="21"/>
        </w:rPr>
      </w:pPr>
      <w:r>
        <w:rPr>
          <w:rFonts w:hint="eastAsia" w:ascii="仿宋_GB2312" w:hAnsi="宋体" w:cs="Times New Roman"/>
          <w:color w:val="auto"/>
          <w:szCs w:val="21"/>
        </w:rPr>
        <w:t>3.招标公告要求提交的与评价指标体系相关的各类有效资料，投标人如未按要求提交的，该项评分为零分。</w:t>
      </w:r>
    </w:p>
    <w:p>
      <w:pPr>
        <w:ind w:firstLine="640"/>
        <w:rPr>
          <w:color w:val="auto"/>
        </w:rPr>
      </w:pPr>
    </w:p>
    <w:p>
      <w:pPr>
        <w:ind w:firstLine="640"/>
        <w:rPr>
          <w:color w:val="auto"/>
        </w:rPr>
      </w:pPr>
    </w:p>
    <w:p>
      <w:pPr>
        <w:ind w:firstLine="640"/>
        <w:rPr>
          <w:color w:val="auto"/>
        </w:rPr>
      </w:pPr>
    </w:p>
    <w:p>
      <w:pPr>
        <w:ind w:firstLine="640"/>
        <w:rPr>
          <w:color w:val="auto"/>
        </w:rPr>
      </w:pPr>
    </w:p>
    <w:p>
      <w:pPr>
        <w:ind w:left="0" w:leftChars="0" w:firstLine="0" w:firstLineChars="0"/>
        <w:rPr>
          <w:rFonts w:ascii="宋体" w:hAnsi="宋体" w:eastAsia="宋体" w:cs="Times New Roman"/>
          <w:color w:val="auto"/>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698" w:right="1587" w:bottom="1531"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56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ind w:firstLine="56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10"/>
    <w:rsid w:val="0001674C"/>
    <w:rsid w:val="000252E7"/>
    <w:rsid w:val="0004588E"/>
    <w:rsid w:val="00061E39"/>
    <w:rsid w:val="000653AD"/>
    <w:rsid w:val="000663A4"/>
    <w:rsid w:val="0007010A"/>
    <w:rsid w:val="000832AA"/>
    <w:rsid w:val="00092733"/>
    <w:rsid w:val="00094E9A"/>
    <w:rsid w:val="0011600F"/>
    <w:rsid w:val="00171EEE"/>
    <w:rsid w:val="001724FA"/>
    <w:rsid w:val="001F68EC"/>
    <w:rsid w:val="001F7480"/>
    <w:rsid w:val="00255DD5"/>
    <w:rsid w:val="002824FE"/>
    <w:rsid w:val="002F01E8"/>
    <w:rsid w:val="002F3860"/>
    <w:rsid w:val="0030482B"/>
    <w:rsid w:val="003570AD"/>
    <w:rsid w:val="003B7F0D"/>
    <w:rsid w:val="003C60BC"/>
    <w:rsid w:val="003D50A4"/>
    <w:rsid w:val="003E556A"/>
    <w:rsid w:val="004000F7"/>
    <w:rsid w:val="00401A10"/>
    <w:rsid w:val="00437450"/>
    <w:rsid w:val="00484410"/>
    <w:rsid w:val="004A134C"/>
    <w:rsid w:val="004A51A7"/>
    <w:rsid w:val="004F1F3B"/>
    <w:rsid w:val="00525A68"/>
    <w:rsid w:val="0054292B"/>
    <w:rsid w:val="00576761"/>
    <w:rsid w:val="005D4A1A"/>
    <w:rsid w:val="0060223C"/>
    <w:rsid w:val="006D0D44"/>
    <w:rsid w:val="00777796"/>
    <w:rsid w:val="00782CE2"/>
    <w:rsid w:val="007930E2"/>
    <w:rsid w:val="007E3B75"/>
    <w:rsid w:val="0082395C"/>
    <w:rsid w:val="0082516C"/>
    <w:rsid w:val="009078C6"/>
    <w:rsid w:val="0095069D"/>
    <w:rsid w:val="00954FB2"/>
    <w:rsid w:val="00996578"/>
    <w:rsid w:val="009B2966"/>
    <w:rsid w:val="009C01E5"/>
    <w:rsid w:val="00A2738C"/>
    <w:rsid w:val="00A6214B"/>
    <w:rsid w:val="00A83164"/>
    <w:rsid w:val="00A869D5"/>
    <w:rsid w:val="00AA2009"/>
    <w:rsid w:val="00AC4A2C"/>
    <w:rsid w:val="00AC612A"/>
    <w:rsid w:val="00AE3F65"/>
    <w:rsid w:val="00BB44B5"/>
    <w:rsid w:val="00C53EEA"/>
    <w:rsid w:val="00C54146"/>
    <w:rsid w:val="00C836BD"/>
    <w:rsid w:val="00CC57C4"/>
    <w:rsid w:val="00CF2E85"/>
    <w:rsid w:val="00D018E3"/>
    <w:rsid w:val="00D2436F"/>
    <w:rsid w:val="00D76B14"/>
    <w:rsid w:val="00D81594"/>
    <w:rsid w:val="00D940BE"/>
    <w:rsid w:val="00DF4F29"/>
    <w:rsid w:val="00E2606D"/>
    <w:rsid w:val="00E301A9"/>
    <w:rsid w:val="00EB4185"/>
    <w:rsid w:val="00EB6290"/>
    <w:rsid w:val="00F01E51"/>
    <w:rsid w:val="00F15B12"/>
    <w:rsid w:val="00F16E0A"/>
    <w:rsid w:val="00F43D5A"/>
    <w:rsid w:val="00F75D07"/>
    <w:rsid w:val="00FB1009"/>
    <w:rsid w:val="04DA234E"/>
    <w:rsid w:val="05A660D6"/>
    <w:rsid w:val="06E43B77"/>
    <w:rsid w:val="09A57B98"/>
    <w:rsid w:val="09C14332"/>
    <w:rsid w:val="198233EF"/>
    <w:rsid w:val="1EEF0BA0"/>
    <w:rsid w:val="229960CB"/>
    <w:rsid w:val="258D4A62"/>
    <w:rsid w:val="2E0555FB"/>
    <w:rsid w:val="32807169"/>
    <w:rsid w:val="37E15643"/>
    <w:rsid w:val="3B015EEB"/>
    <w:rsid w:val="3CF948D3"/>
    <w:rsid w:val="3D2829B1"/>
    <w:rsid w:val="415247BC"/>
    <w:rsid w:val="42637CEC"/>
    <w:rsid w:val="43E86B0C"/>
    <w:rsid w:val="44F15459"/>
    <w:rsid w:val="4C264FBB"/>
    <w:rsid w:val="4D0E20E0"/>
    <w:rsid w:val="4F3C35DF"/>
    <w:rsid w:val="4FFC3DEB"/>
    <w:rsid w:val="54A67398"/>
    <w:rsid w:val="562C62BC"/>
    <w:rsid w:val="5EFC1570"/>
    <w:rsid w:val="64D3015A"/>
    <w:rsid w:val="6CB41A5D"/>
    <w:rsid w:val="793C349B"/>
    <w:rsid w:val="7ADD2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rPr>
  </w:style>
  <w:style w:type="paragraph" w:styleId="3">
    <w:name w:val="annotation text"/>
    <w:basedOn w:val="1"/>
    <w:link w:val="18"/>
    <w:semiHidden/>
    <w:unhideWhenUsed/>
    <w:qFormat/>
    <w:uiPriority w:val="99"/>
    <w:pPr>
      <w:jc w:val="left"/>
    </w:pPr>
  </w:style>
  <w:style w:type="paragraph" w:styleId="4">
    <w:name w:val="Plain Text"/>
    <w:basedOn w:val="1"/>
    <w:link w:val="16"/>
    <w:qFormat/>
    <w:uiPriority w:val="0"/>
    <w:pPr>
      <w:spacing w:line="240" w:lineRule="auto"/>
      <w:ind w:firstLine="0" w:firstLineChars="0"/>
    </w:pPr>
    <w:rPr>
      <w:rFonts w:ascii="宋体" w:hAnsi="Courier New" w:cs="Courier New" w:eastAsiaTheme="minorEastAsia"/>
      <w:sz w:val="21"/>
      <w:szCs w:val="21"/>
    </w:rPr>
  </w:style>
  <w:style w:type="paragraph" w:styleId="5">
    <w:name w:val="Balloon Text"/>
    <w:basedOn w:val="1"/>
    <w:link w:val="13"/>
    <w:semiHidden/>
    <w:unhideWhenUsed/>
    <w:qFormat/>
    <w:uiPriority w:val="99"/>
    <w:rPr>
      <w:rFonts w:ascii="宋体" w:eastAsia="宋体"/>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rFonts w:ascii="Times New Roman" w:hAnsi="Times New Roman" w:eastAsia="宋体" w:cs="Times New Roman"/>
      <w:sz w:val="24"/>
      <w:szCs w:val="24"/>
    </w:rPr>
  </w:style>
  <w:style w:type="paragraph" w:styleId="9">
    <w:name w:val="annotation subject"/>
    <w:basedOn w:val="3"/>
    <w:next w:val="3"/>
    <w:link w:val="19"/>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5"/>
    <w:semiHidden/>
    <w:qFormat/>
    <w:uiPriority w:val="99"/>
    <w:rPr>
      <w:rFonts w:ascii="宋体" w:eastAsia="宋体"/>
      <w:kern w:val="2"/>
      <w:sz w:val="18"/>
      <w:szCs w:val="18"/>
    </w:rPr>
  </w:style>
  <w:style w:type="paragraph" w:styleId="14">
    <w:name w:val="List Paragraph"/>
    <w:basedOn w:val="1"/>
    <w:link w:val="15"/>
    <w:qFormat/>
    <w:uiPriority w:val="34"/>
    <w:pPr>
      <w:ind w:firstLine="420"/>
    </w:pPr>
    <w:rPr>
      <w:rFonts w:ascii="Times New Roman" w:hAnsi="Times New Roman" w:eastAsia="宋体" w:cs="Times New Roman"/>
      <w:sz w:val="21"/>
      <w:szCs w:val="24"/>
    </w:rPr>
  </w:style>
  <w:style w:type="character" w:customStyle="1" w:styleId="15">
    <w:name w:val="列表段落 字符"/>
    <w:link w:val="14"/>
    <w:qFormat/>
    <w:uiPriority w:val="34"/>
    <w:rPr>
      <w:kern w:val="2"/>
      <w:sz w:val="21"/>
      <w:szCs w:val="24"/>
    </w:rPr>
  </w:style>
  <w:style w:type="character" w:customStyle="1" w:styleId="16">
    <w:name w:val="纯文本 字符"/>
    <w:basedOn w:val="11"/>
    <w:link w:val="4"/>
    <w:qFormat/>
    <w:uiPriority w:val="0"/>
    <w:rPr>
      <w:rFonts w:ascii="宋体" w:hAnsi="Courier New" w:cs="Courier New" w:eastAsiaTheme="minorEastAsia"/>
      <w:kern w:val="2"/>
      <w:sz w:val="21"/>
      <w:szCs w:val="21"/>
    </w:rPr>
  </w:style>
  <w:style w:type="paragraph" w:customStyle="1" w:styleId="17">
    <w:name w:val="列出段落1"/>
    <w:basedOn w:val="1"/>
    <w:qFormat/>
    <w:uiPriority w:val="34"/>
    <w:pPr>
      <w:spacing w:line="240" w:lineRule="auto"/>
      <w:ind w:firstLine="420"/>
    </w:pPr>
    <w:rPr>
      <w:rFonts w:ascii="Times New Roman" w:hAnsi="Times New Roman" w:eastAsia="宋体" w:cs="Times New Roman"/>
      <w:sz w:val="21"/>
      <w:szCs w:val="24"/>
    </w:rPr>
  </w:style>
  <w:style w:type="character" w:customStyle="1" w:styleId="18">
    <w:name w:val="批注文字 字符"/>
    <w:basedOn w:val="11"/>
    <w:link w:val="3"/>
    <w:semiHidden/>
    <w:qFormat/>
    <w:uiPriority w:val="99"/>
    <w:rPr>
      <w:rFonts w:eastAsia="仿宋_GB2312" w:asciiTheme="minorHAnsi" w:hAnsiTheme="minorHAnsi" w:cstheme="minorBidi"/>
      <w:kern w:val="2"/>
      <w:sz w:val="32"/>
      <w:szCs w:val="22"/>
    </w:rPr>
  </w:style>
  <w:style w:type="character" w:customStyle="1" w:styleId="19">
    <w:name w:val="批注主题 字符"/>
    <w:basedOn w:val="18"/>
    <w:link w:val="9"/>
    <w:semiHidden/>
    <w:qFormat/>
    <w:uiPriority w:val="99"/>
    <w:rPr>
      <w:rFonts w:eastAsia="仿宋_GB2312" w:asciiTheme="minorHAnsi" w:hAnsiTheme="minorHAnsi" w:cstheme="minorBidi"/>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846</Words>
  <Characters>4825</Characters>
  <Lines>40</Lines>
  <Paragraphs>11</Paragraphs>
  <TotalTime>34</TotalTime>
  <ScaleCrop>false</ScaleCrop>
  <LinksUpToDate>false</LinksUpToDate>
  <CharactersWithSpaces>5660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2020-03-19T00:35:00Z</dcterms:created>
  <dc:creator>ming.su</dc:creator>
  <cp:lastModifiedBy>Darcya</cp:lastModifiedBy>
  <cp:lastPrinted>2021-05-13T02:10:00Z</cp:lastPrinted>
  <dcterms:modified xsi:type="dcterms:W3CDTF">2021-06-01T10:03:05Z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D00746C33E914BB0AED3C3A232A57984</vt:lpwstr>
  </property>
</Properties>
</file>