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附件</w:t>
      </w:r>
    </w:p>
    <w:p>
      <w:pPr>
        <w:jc w:val="left"/>
        <w:rPr>
          <w:rFonts w:ascii="Times New Roman" w:hAnsi="Times New Roman" w:eastAsia="仿宋_GB2312" w:cs="Times New Roman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广东大亚湾水产资源省级自然保护区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申请调整方案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jc w:val="center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广东大亚湾水产资源省级自然保护区（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以</w:t>
      </w:r>
      <w:r>
        <w:rPr>
          <w:rFonts w:hint="eastAsia" w:ascii="仿宋_GB2312" w:hAnsi="仿宋_GB2312" w:eastAsia="仿宋_GB2312" w:cs="仿宋_GB2312"/>
          <w:sz w:val="32"/>
          <w:szCs w:val="32"/>
        </w:rPr>
        <w:t>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简</w:t>
      </w:r>
      <w:r>
        <w:rPr>
          <w:rFonts w:hint="eastAsia" w:ascii="仿宋_GB2312" w:hAnsi="仿宋_GB2312" w:eastAsia="仿宋_GB2312" w:cs="仿宋_GB2312"/>
          <w:sz w:val="32"/>
          <w:szCs w:val="32"/>
        </w:rPr>
        <w:t>称保护区）于1983年4月经广东省人民政府批准建立，涉及深圳市大鹏新区和惠州市大亚湾国家级经济技术开发区、惠东县。自保护区成立以来，深惠两市政府高度重视大亚湾海洋环境保护工作，齐抓共管、真抓实干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保护</w:t>
      </w:r>
      <w:r>
        <w:rPr>
          <w:rFonts w:hint="eastAsia" w:ascii="仿宋_GB2312" w:hAnsi="仿宋_GB2312" w:eastAsia="仿宋_GB2312" w:cs="仿宋_GB2312"/>
          <w:sz w:val="32"/>
          <w:szCs w:val="32"/>
        </w:rPr>
        <w:t>区内水产资源、水生野生重点保护动物和自然生态环境总体得到有效保护。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大亚湾地处粤港澳大湾区东部，是广东省落实国家“一带一路”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倡议</w:t>
      </w:r>
      <w:r>
        <w:rPr>
          <w:rFonts w:hint="eastAsia" w:ascii="仿宋_GB2312" w:hAnsi="仿宋_GB2312" w:eastAsia="仿宋_GB2312" w:cs="仿宋_GB2312"/>
          <w:sz w:val="32"/>
          <w:szCs w:val="32"/>
        </w:rPr>
        <w:t>的重要组成部分。2019年2月，中共中央国务院印发《粤港澳大湾区发展规划纲要》，提出深圳要发挥作为经济特区、全国性经济中心城市和国家创新型城市的引领作用，加快建成现代化国际化城市；惠州作为重要节点城市，要强化与中心城市的互动合作，加快发展先进制造业，培育壮大战略性新兴产业，大力发展海洋经济。2019年8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，《</w:t>
      </w:r>
      <w:r>
        <w:rPr>
          <w:rFonts w:hint="eastAsia" w:ascii="仿宋_GB2312" w:hAnsi="仿宋_GB2312" w:eastAsia="仿宋_GB2312" w:cs="仿宋_GB2312"/>
          <w:sz w:val="32"/>
          <w:szCs w:val="32"/>
        </w:rPr>
        <w:t>中共中央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国务院关于支持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深圳建设中国特色社会主义先行示范区的意见》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明确提出支持深圳加快建设全球海洋中心城市</w:t>
      </w:r>
      <w:r>
        <w:rPr>
          <w:rFonts w:hint="eastAsia" w:ascii="仿宋_GB2312" w:hAnsi="仿宋_GB2312" w:eastAsia="仿宋_GB2312" w:cs="仿宋_GB2312"/>
          <w:sz w:val="32"/>
          <w:szCs w:val="32"/>
        </w:rPr>
        <w:t>。同时，中共中央办公厅国务院办公厅印发《关于建立以国家公园为主体的自然保护地体系的指导意见》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要求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对自然保护地进行科学评估，分类有序解决历史遗留问题。基于以上要求，</w:t>
      </w:r>
      <w:r>
        <w:rPr>
          <w:rFonts w:hint="eastAsia" w:ascii="仿宋_GB2312" w:hAnsi="仿宋_GB2312" w:eastAsia="仿宋_GB2312" w:cs="仿宋_GB2312"/>
          <w:sz w:val="32"/>
          <w:szCs w:val="32"/>
        </w:rPr>
        <w:t>在生态优先、应划尽划、尊重历史、保障民生的原则下，为提升保护区生态系统和物种的整体保护效果，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统筹</w:t>
      </w:r>
      <w:r>
        <w:rPr>
          <w:rFonts w:hint="eastAsia" w:ascii="仿宋_GB2312" w:hAnsi="仿宋_GB2312" w:eastAsia="仿宋_GB2312" w:cs="仿宋_GB2312"/>
          <w:sz w:val="32"/>
          <w:szCs w:val="32"/>
        </w:rPr>
        <w:t>协调经济社会发展和自然保护的关系，实现生态效益、经济效益和社会效益的有机统一，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拟</w:t>
      </w:r>
      <w:r>
        <w:rPr>
          <w:rFonts w:hint="eastAsia" w:ascii="仿宋_GB2312" w:hAnsi="仿宋_GB2312" w:eastAsia="仿宋_GB2312" w:cs="仿宋_GB2312"/>
          <w:sz w:val="32"/>
          <w:szCs w:val="32"/>
        </w:rPr>
        <w:t>开展保护区范围和功能区调整工作。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保护区范围</w:t>
      </w:r>
      <w:r>
        <w:rPr>
          <w:rFonts w:hint="eastAsia" w:ascii="仿宋_GB2312" w:hAnsi="仿宋_GB2312" w:eastAsia="仿宋_GB2312" w:cs="仿宋_GB2312"/>
          <w:sz w:val="32"/>
          <w:szCs w:val="32"/>
        </w:rPr>
        <w:t>调出面积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共计</w:t>
      </w:r>
      <w:r>
        <w:rPr>
          <w:rFonts w:hint="eastAsia" w:ascii="仿宋_GB2312" w:hAnsi="仿宋_GB2312" w:eastAsia="仿宋_GB2312" w:cs="仿宋_GB2312"/>
          <w:sz w:val="32"/>
          <w:szCs w:val="32"/>
        </w:rPr>
        <w:t>41.69km</w:t>
      </w:r>
      <w:r>
        <w:rPr>
          <w:rFonts w:hint="eastAsia" w:ascii="仿宋_GB2312" w:hAnsi="仿宋_GB2312" w:eastAsia="仿宋_GB2312" w:cs="仿宋_GB2312"/>
          <w:sz w:val="32"/>
          <w:szCs w:val="32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深圳海域不涉及范围调出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；将位于保护区南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侧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部分区域调入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保护区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实验区面积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共计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42.32km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其中深圳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调入实验区面积为8.27km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保护区功能区由原核心区、缓冲区分别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调降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为缓冲区、实验区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面积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共计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101.96km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其中深圳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调降面积为53.30km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保护区功能区由原缓冲区、实验区分别调升为核心区、缓冲区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面积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共计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125.39km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其中深圳调升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面积为28.87km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调整后，保护区总体面积不减小、生态功能不下降，以实测岸线核算后的保护区总面积为986.35km</w:t>
      </w:r>
      <w:r>
        <w:rPr>
          <w:rFonts w:hint="eastAsia" w:ascii="仿宋_GB2312" w:hAnsi="仿宋_GB2312" w:eastAsia="仿宋_GB2312" w:cs="仿宋_GB2312"/>
          <w:sz w:val="32"/>
          <w:szCs w:val="32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包括</w:t>
      </w:r>
      <w:r>
        <w:rPr>
          <w:rFonts w:hint="eastAsia" w:ascii="仿宋_GB2312" w:hAnsi="仿宋_GB2312" w:eastAsia="仿宋_GB2312" w:cs="仿宋_GB2312"/>
          <w:sz w:val="32"/>
          <w:szCs w:val="32"/>
        </w:rPr>
        <w:t>核心区面积134.60km</w:t>
      </w:r>
      <w:r>
        <w:rPr>
          <w:rFonts w:hint="eastAsia" w:ascii="仿宋_GB2312" w:hAnsi="仿宋_GB2312" w:eastAsia="仿宋_GB2312" w:cs="仿宋_GB2312"/>
          <w:sz w:val="32"/>
          <w:szCs w:val="32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缓冲区面积189.42km</w:t>
      </w:r>
      <w:r>
        <w:rPr>
          <w:rFonts w:hint="eastAsia" w:ascii="仿宋_GB2312" w:hAnsi="仿宋_GB2312" w:eastAsia="仿宋_GB2312" w:cs="仿宋_GB2312"/>
          <w:sz w:val="32"/>
          <w:szCs w:val="32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实验区面积662.33km</w:t>
      </w:r>
      <w:r>
        <w:rPr>
          <w:rFonts w:hint="eastAsia" w:ascii="仿宋_GB2312" w:hAnsi="仿宋_GB2312" w:eastAsia="仿宋_GB2312" w:cs="仿宋_GB2312"/>
          <w:sz w:val="32"/>
          <w:szCs w:val="32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保护区</w:t>
      </w:r>
      <w:r>
        <w:rPr>
          <w:rFonts w:hint="eastAsia" w:ascii="仿宋_GB2312" w:hAnsi="仿宋_GB2312" w:eastAsia="仿宋_GB2312" w:cs="仿宋_GB2312"/>
          <w:sz w:val="32"/>
          <w:szCs w:val="32"/>
        </w:rPr>
        <w:t>调整前后情况见附图1、2）。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其中，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深圳海域保护区面积为143.47km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包括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核心区面积22.74km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、缓冲区面积42.39km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</w:rPr>
        <w:t>、实验区面积78.34km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superscript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baseline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保护区深圳海域调整前后情况见附图3、4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vertAlign w:val="baseline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79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auto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附图1 广东大亚湾水产资源省级自然保护区功能区划图（调整前）</w:t>
      </w:r>
      <w:r>
        <w:rPr>
          <w:rFonts w:ascii="Times New Roman" w:hAnsi="Times New Roman" w:eastAsia="仿宋_GB2312" w:cs="Times New Roman"/>
          <w:b/>
          <w:bCs/>
          <w:sz w:val="32"/>
          <w:szCs w:val="32"/>
        </w:rPr>
        <w:drawing>
          <wp:inline distT="0" distB="0" distL="114300" distR="114300">
            <wp:extent cx="5272405" cy="6235065"/>
            <wp:effectExtent l="0" t="0" r="4445" b="13335"/>
            <wp:docPr id="1" name="图片 1" descr="附图1-保护区调整前功能区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图1-保护区调整前功能区划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附图2 广东大亚湾水产资源省级自然保护区功能区划图（调整后）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72405" cy="6235065"/>
            <wp:effectExtent l="0" t="0" r="4445" b="13335"/>
            <wp:docPr id="2" name="图片 2" descr="附图2-保护区调整后功能区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图2-保护区调整后功能区划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23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jc w:val="center"/>
        <w:rPr>
          <w:rFonts w:ascii="Times New Roman" w:hAnsi="Times New Roman" w:eastAsia="仿宋_GB2312" w:cs="Times New Roman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附图3 广东大亚湾水产资源省级自然保护区调整前功能区划图（深圳海域）</w:t>
      </w:r>
    </w:p>
    <w:p>
      <w:pPr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73675" cy="6591300"/>
            <wp:effectExtent l="0" t="0" r="3175" b="0"/>
            <wp:docPr id="3" name="图片 3" descr="附图3-保护区调整前功能区划（深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图3-保护区调整前功能区划（深圳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仿宋_GB2312" w:cs="Times New Roman"/>
          <w:b/>
          <w:bCs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Times New Roman" w:hAnsi="Times New Roman" w:eastAsia="仿宋_GB2312" w:cs="Times New Roman"/>
          <w:b/>
          <w:bCs/>
          <w:sz w:val="28"/>
          <w:szCs w:val="28"/>
        </w:rPr>
      </w:pPr>
      <w:r>
        <w:rPr>
          <w:rFonts w:ascii="Times New Roman" w:hAnsi="Times New Roman" w:eastAsia="仿宋_GB2312" w:cs="Times New Roman"/>
          <w:b/>
          <w:bCs/>
          <w:sz w:val="28"/>
          <w:szCs w:val="28"/>
        </w:rPr>
        <w:t>附图4 广东大亚湾水产资源省级自然保护区调整后功能区划图（深圳海域）</w:t>
      </w:r>
    </w:p>
    <w:p>
      <w:pP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5273675" cy="6591300"/>
            <wp:effectExtent l="0" t="0" r="3175" b="0"/>
            <wp:docPr id="6" name="图片 6" descr="附图4-保护区调整后功能区划（深圳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图4-保护区调整后功能区划（深圳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9A1B88"/>
    <w:rsid w:val="047F0B09"/>
    <w:rsid w:val="04853FC4"/>
    <w:rsid w:val="0DDE22D0"/>
    <w:rsid w:val="2F9A1B88"/>
    <w:rsid w:val="49D7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2021-05-14T03:47:00Z</dcterms:created>
  <dc:creator>null</dc:creator>
  <cp:lastModifiedBy>宫婷</cp:lastModifiedBy>
  <dcterms:modified xsi:type="dcterms:W3CDTF">2021-05-25T02:21:48Z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