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0"/>
          <w:szCs w:val="30"/>
          <w:lang w:val="en-US" w:eastAsia="zh-CN"/>
        </w:rPr>
      </w:pPr>
      <w:r>
        <w:rPr>
          <w:rFonts w:hint="eastAsia" w:ascii="黑体" w:hAnsi="宋体" w:eastAsia="黑体"/>
          <w:sz w:val="30"/>
          <w:szCs w:val="30"/>
          <w:lang w:val="en-US" w:eastAsia="zh-CN"/>
        </w:rPr>
        <w:t>附件2：评分方法</w:t>
      </w:r>
    </w:p>
    <w:tbl>
      <w:tblPr>
        <w:tblStyle w:val="3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93"/>
        <w:gridCol w:w="1778"/>
        <w:gridCol w:w="74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序号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评分项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1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价格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86" w:type="dxa"/>
            <w:gridSpan w:val="4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投标报价价格分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=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（评标基准价/投标报价）×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评标基准价为满足招标文件要求且投标价格最低的投标报价；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技术部分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评分因素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权重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竞赛服务项目整体规划的合理性和可操作性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对竞赛服务项目活动方案的合理性和可操作性进行综合评分，综合评价为优：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分；良：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分；中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分；差：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赛场布置的工作计划和实施方案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对赛场布置的整体方案及策划、管理及应急方案、工作计划（需提供各项目现场氛围布置效果图和竞赛场地布置效果图）三部分进行综合评分，综合评价为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分；良：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分；中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分；差：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颁奖服务工作计划和实施方案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对颁奖服务的整体方案及策划、管理及应急方案、工作计划（需提供各项目竞赛场馆颁奖流线图）三部分进行综合评分，综合评价为优综合评价为优：综合评价为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分；良：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分；中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分；差：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顾问团队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水球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执裁标准安排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顾问团队，并提供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赛事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顾问团队不少于6人（含6人）的资质证书（顾问指获得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水球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国家一级以上裁判证）进行综合评分，综合评价为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分；良：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分；中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分；差：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执行团队人员配置方案（拥有体育人才队伍）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投标单位需为本次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水球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比赛至少提供10名体育人才技术骨干（体育人才指拥有裁判等级证书或体育院校毕业的人员），需提供裁判等级证书或体育院校毕业人员毕业证书，提供相关证明材料扫描件或复印件并加盖公章，原件备查）进行综合评分，综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合评价为优：12分；良：9分；中4分；差：0分。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</w:p>
        </w:tc>
        <w:tc>
          <w:tcPr>
            <w:tcW w:w="321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商务需求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评分因素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权重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体育行业资质、荣誉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根据企业获得的体育行业资质或荣誉的数量进行打分，获得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个以上（含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个）体育政府部门出具的荣誉证明得2分，不足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个得1分，未提供不得分。（提供相关证明材料扫描件或复印件并加盖公章，原件备查）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国内大型体育赛事活动、组织、策划案例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根据近十年国内重大体育赛事组织、策划案例，每提供一项得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分，满分6分，请提供合同或中标通知书扫描件或复印件并加盖公章（原件备查），未提供的0分。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6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省、市大型体育赛事活动、组织、策划案例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3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根据近十年省内、市内重大体育联赛组织、策划案例，每提供一项得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分，满分6分，请提供合同或中标通知书扫描件或扫描件并加盖公章（原件备查），未提供的0分。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84187"/>
    <w:rsid w:val="0A6A1EB9"/>
    <w:rsid w:val="2083110D"/>
    <w:rsid w:val="2EAE1528"/>
    <w:rsid w:val="2EF84187"/>
    <w:rsid w:val="377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2019-11-21T02:23:00Z</dcterms:created>
  <dc:creator>weeping</dc:creator>
  <cp:lastModifiedBy>伊小悠Yoki</cp:lastModifiedBy>
  <cp:lastPrinted>2021-04-26T02:39:00Z</cp:lastPrinted>
  <dcterms:modified xsi:type="dcterms:W3CDTF">2021-04-29T06:33:12Z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7A1FBED3B25043E2807D65D07E97A43F</vt:lpwstr>
  </property>
</Properties>
</file>