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黑体" w:hAnsi="黑体" w:eastAsia="黑体" w:cs="黑体"/>
          <w:b/>
          <w:sz w:val="44"/>
          <w:szCs w:val="44"/>
        </w:rPr>
      </w:pPr>
      <w:bookmarkStart w:id="0" w:name="_GoBack"/>
      <w:bookmarkEnd w:id="0"/>
      <w:r>
        <w:rPr>
          <w:rFonts w:hint="eastAsia" w:ascii="黑体" w:hAnsi="黑体" w:eastAsia="黑体" w:cs="黑体"/>
          <w:b/>
          <w:sz w:val="44"/>
          <w:szCs w:val="44"/>
        </w:rPr>
        <w:t>内部评审项目评分表</w:t>
      </w:r>
    </w:p>
    <w:p>
      <w:pPr>
        <w:spacing w:after="60" w:line="400" w:lineRule="exact"/>
        <w:rPr>
          <w:rFonts w:ascii="仿宋_GB2312" w:eastAsia="仿宋_GB2312"/>
          <w:sz w:val="30"/>
          <w:szCs w:val="30"/>
        </w:rPr>
      </w:pPr>
    </w:p>
    <w:p>
      <w:pPr>
        <w:spacing w:after="60" w:line="400" w:lineRule="exact"/>
        <w:rPr>
          <w:rFonts w:ascii="仿宋_GB2312" w:eastAsia="仿宋_GB2312"/>
          <w:sz w:val="30"/>
          <w:szCs w:val="30"/>
        </w:rPr>
      </w:pPr>
      <w:r>
        <w:rPr>
          <w:rFonts w:hint="eastAsia" w:ascii="仿宋_GB2312" w:eastAsia="仿宋_GB2312"/>
          <w:sz w:val="30"/>
          <w:szCs w:val="30"/>
        </w:rPr>
        <w:t>项目名称：深圳旅行社基本状况与发展趋势调研项目</w:t>
      </w:r>
    </w:p>
    <w:tbl>
      <w:tblPr>
        <w:tblStyle w:val="9"/>
        <w:tblW w:w="15637"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7"/>
        <w:gridCol w:w="6563"/>
        <w:gridCol w:w="1760"/>
        <w:gridCol w:w="1760"/>
        <w:gridCol w:w="176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trPr>
        <w:tc>
          <w:tcPr>
            <w:tcW w:w="78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类别</w:t>
            </w:r>
          </w:p>
        </w:tc>
        <w:tc>
          <w:tcPr>
            <w:tcW w:w="124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评分</w:t>
            </w:r>
          </w:p>
          <w:p>
            <w:pPr>
              <w:adjustRightInd w:val="0"/>
              <w:snapToGrid w:val="0"/>
              <w:jc w:val="center"/>
              <w:rPr>
                <w:rFonts w:ascii="仿宋_GB2312" w:eastAsia="仿宋_GB2312"/>
                <w:color w:val="000000"/>
                <w:sz w:val="24"/>
              </w:rPr>
            </w:pPr>
            <w:r>
              <w:rPr>
                <w:rFonts w:hint="eastAsia" w:ascii="仿宋_GB2312" w:eastAsia="仿宋_GB2312"/>
                <w:color w:val="000000"/>
                <w:sz w:val="24"/>
              </w:rPr>
              <w:t>项目</w:t>
            </w:r>
          </w:p>
        </w:tc>
        <w:tc>
          <w:tcPr>
            <w:tcW w:w="656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评分参考及范围</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Cs w:val="21"/>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Cs w:val="21"/>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Cs w:val="21"/>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24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65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分值</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分值</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分值</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价格</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投标</w:t>
            </w:r>
          </w:p>
          <w:p>
            <w:pPr>
              <w:adjustRightInd w:val="0"/>
              <w:snapToGrid w:val="0"/>
              <w:jc w:val="center"/>
              <w:rPr>
                <w:rFonts w:ascii="仿宋_GB2312" w:eastAsia="仿宋_GB2312"/>
                <w:color w:val="000000"/>
                <w:sz w:val="24"/>
              </w:rPr>
            </w:pPr>
            <w:r>
              <w:rPr>
                <w:rFonts w:hint="eastAsia" w:ascii="仿宋_GB2312" w:eastAsia="仿宋_GB2312"/>
                <w:color w:val="000000"/>
                <w:sz w:val="24"/>
              </w:rPr>
              <w:t>总价</w:t>
            </w:r>
          </w:p>
          <w:p>
            <w:pPr>
              <w:adjustRightInd w:val="0"/>
              <w:snapToGrid w:val="0"/>
              <w:jc w:val="center"/>
              <w:rPr>
                <w:rFonts w:ascii="仿宋_GB2312" w:eastAsia="仿宋_GB2312"/>
                <w:color w:val="000000"/>
                <w:sz w:val="24"/>
              </w:rPr>
            </w:pPr>
            <w:r>
              <w:rPr>
                <w:rFonts w:hint="eastAsia" w:ascii="仿宋_GB2312" w:eastAsia="仿宋_GB2312"/>
                <w:color w:val="000000"/>
                <w:sz w:val="24"/>
              </w:rPr>
              <w:t>（</w:t>
            </w:r>
            <w:r>
              <w:rPr>
                <w:rFonts w:ascii="仿宋_GB2312" w:eastAsia="仿宋_GB2312"/>
                <w:color w:val="000000"/>
                <w:sz w:val="24"/>
              </w:rPr>
              <w:t>2</w:t>
            </w:r>
            <w:r>
              <w:rPr>
                <w:rFonts w:hint="eastAsia" w:ascii="仿宋_GB2312" w:eastAsia="仿宋_GB2312"/>
                <w:color w:val="000000"/>
                <w:sz w:val="24"/>
              </w:rPr>
              <w:t>0分）</w:t>
            </w:r>
          </w:p>
        </w:tc>
        <w:tc>
          <w:tcPr>
            <w:tcW w:w="6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价格分</w:t>
            </w:r>
            <w:r>
              <w:rPr>
                <w:rFonts w:ascii="仿宋_GB2312" w:eastAsia="仿宋_GB2312"/>
                <w:color w:val="000000"/>
                <w:sz w:val="22"/>
                <w:szCs w:val="22"/>
              </w:rPr>
              <w:t>=</w:t>
            </w:r>
            <w:r>
              <w:rPr>
                <w:rFonts w:hint="eastAsia" w:ascii="仿宋_GB2312" w:eastAsia="仿宋_GB2312"/>
                <w:color w:val="000000"/>
                <w:sz w:val="22"/>
                <w:szCs w:val="22"/>
              </w:rPr>
              <w:t>评标基准价</w:t>
            </w:r>
            <w:r>
              <w:rPr>
                <w:rFonts w:ascii="仿宋_GB2312" w:eastAsia="仿宋_GB2312"/>
                <w:color w:val="000000"/>
                <w:sz w:val="22"/>
                <w:szCs w:val="22"/>
              </w:rPr>
              <w:t>/</w:t>
            </w:r>
            <w:r>
              <w:rPr>
                <w:rFonts w:hint="eastAsia" w:ascii="仿宋_GB2312" w:eastAsia="仿宋_GB2312"/>
                <w:color w:val="000000"/>
                <w:sz w:val="22"/>
                <w:szCs w:val="22"/>
              </w:rPr>
              <w:t>投标报价×</w:t>
            </w:r>
            <w:r>
              <w:rPr>
                <w:rFonts w:ascii="仿宋_GB2312" w:eastAsia="仿宋_GB2312"/>
                <w:color w:val="000000"/>
                <w:sz w:val="22"/>
                <w:szCs w:val="22"/>
              </w:rPr>
              <w:t>20</w:t>
            </w:r>
          </w:p>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说明：投标报价最低者（评标基准价）本项得满分</w:t>
            </w:r>
            <w:r>
              <w:rPr>
                <w:rFonts w:ascii="仿宋_GB2312" w:eastAsia="仿宋_GB2312"/>
                <w:color w:val="000000"/>
                <w:sz w:val="22"/>
                <w:szCs w:val="22"/>
              </w:rPr>
              <w:t>20</w:t>
            </w:r>
            <w:r>
              <w:rPr>
                <w:rFonts w:hint="eastAsia" w:ascii="仿宋_GB2312" w:eastAsia="仿宋_GB2312"/>
                <w:color w:val="000000"/>
                <w:sz w:val="22"/>
                <w:szCs w:val="22"/>
              </w:rPr>
              <w:t>分，其他单位报价按照上述公式与评标基准价相比进行分数统计。</w:t>
            </w:r>
            <w:r>
              <w:rPr>
                <w:rFonts w:hint="eastAsia" w:ascii="仿宋_GB2312" w:eastAsia="仿宋_GB2312"/>
                <w:b/>
                <w:color w:val="000000"/>
                <w:sz w:val="22"/>
                <w:szCs w:val="22"/>
              </w:rPr>
              <w:t>备注：所有投保报价均不得超过财政预算价。</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rPr>
                <w:rFonts w:ascii="仿宋_GB2312" w:eastAsia="仿宋_GB2312"/>
                <w:color w:val="000000"/>
                <w:sz w:val="24"/>
                <w:u w:val="single"/>
              </w:rPr>
            </w:pPr>
            <w:r>
              <w:rPr>
                <w:rFonts w:hint="eastAsia" w:ascii="仿宋_GB2312" w:eastAsia="仿宋_GB2312"/>
                <w:color w:val="000000"/>
                <w:sz w:val="24"/>
              </w:rPr>
              <w:t>报价：</w:t>
            </w:r>
            <w:r>
              <w:rPr>
                <w:rFonts w:hint="eastAsia" w:ascii="仿宋_GB2312" w:eastAsia="仿宋_GB2312"/>
                <w:color w:val="000000"/>
                <w:sz w:val="24"/>
                <w:u w:val="single"/>
              </w:rPr>
              <w:t xml:space="preserve">      </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rPr>
                <w:rFonts w:ascii="仿宋_GB2312" w:eastAsia="仿宋_GB2312"/>
                <w:color w:val="000000"/>
                <w:sz w:val="24"/>
              </w:rPr>
            </w:pPr>
            <w:r>
              <w:rPr>
                <w:rFonts w:hint="eastAsia" w:ascii="仿宋_GB2312" w:eastAsia="仿宋_GB2312"/>
                <w:color w:val="000000"/>
                <w:sz w:val="24"/>
              </w:rPr>
              <w:t>报价：</w:t>
            </w:r>
            <w:r>
              <w:rPr>
                <w:rFonts w:hint="eastAsia" w:ascii="仿宋_GB2312" w:eastAsia="仿宋_GB2312"/>
                <w:color w:val="000000"/>
                <w:sz w:val="24"/>
                <w:u w:val="single"/>
              </w:rPr>
              <w:t xml:space="preserve">      </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rPr>
                <w:rFonts w:ascii="仿宋_GB2312" w:eastAsia="仿宋_GB2312"/>
                <w:color w:val="000000"/>
                <w:sz w:val="24"/>
              </w:rPr>
            </w:pPr>
            <w:r>
              <w:rPr>
                <w:rFonts w:hint="eastAsia" w:ascii="仿宋_GB2312" w:eastAsia="仿宋_GB2312"/>
                <w:color w:val="000000"/>
                <w:sz w:val="24"/>
              </w:rPr>
              <w:t>报价：</w:t>
            </w:r>
            <w:r>
              <w:rPr>
                <w:rFonts w:hint="eastAsia" w:ascii="仿宋_GB2312" w:eastAsia="仿宋_GB2312"/>
                <w:color w:val="000000"/>
                <w:sz w:val="24"/>
                <w:u w:val="single"/>
              </w:rPr>
              <w:t xml:space="preserve">      </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rPr>
                <w:rFonts w:ascii="仿宋_GB2312" w:eastAsia="仿宋_GB2312"/>
                <w:color w:val="000000"/>
                <w:sz w:val="24"/>
              </w:rPr>
            </w:pPr>
            <w:r>
              <w:rPr>
                <w:rFonts w:hint="eastAsia" w:ascii="仿宋_GB2312" w:eastAsia="仿宋_GB2312"/>
                <w:color w:val="000000"/>
                <w:sz w:val="24"/>
              </w:rPr>
              <w:t>报价：</w:t>
            </w:r>
            <w:r>
              <w:rPr>
                <w:rFonts w:hint="eastAsia" w:ascii="仿宋_GB2312" w:eastAsia="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87" w:type="dxa"/>
            <w:vMerge w:val="restart"/>
            <w:tcBorders>
              <w:left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综合</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Cs w:val="21"/>
              </w:rPr>
            </w:pPr>
            <w:r>
              <w:rPr>
                <w:rFonts w:hint="eastAsia" w:ascii="仿宋_GB2312" w:eastAsia="仿宋_GB2312"/>
                <w:color w:val="000000"/>
                <w:sz w:val="24"/>
              </w:rPr>
              <w:t>团队配置（15分）</w:t>
            </w:r>
          </w:p>
        </w:tc>
        <w:tc>
          <w:tcPr>
            <w:tcW w:w="6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1"/>
              </w:num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团队成员具有</w:t>
            </w:r>
            <w:r>
              <w:rPr>
                <w:rFonts w:ascii="仿宋_GB2312" w:hAnsi="仿宋_GB2312" w:eastAsia="仿宋_GB2312"/>
                <w:color w:val="000000"/>
                <w:sz w:val="22"/>
                <w:szCs w:val="22"/>
              </w:rPr>
              <w:t>旅游专业相关的</w:t>
            </w:r>
            <w:r>
              <w:rPr>
                <w:rFonts w:hint="eastAsia" w:ascii="仿宋_GB2312" w:eastAsia="仿宋_GB2312"/>
                <w:color w:val="000000"/>
                <w:sz w:val="22"/>
                <w:szCs w:val="22"/>
              </w:rPr>
              <w:t>博士学位的得3分/每人，具有硕士学位的1分/每人，其他情况不得分，本项最高9分；</w:t>
            </w:r>
          </w:p>
          <w:p>
            <w:pPr>
              <w:numPr>
                <w:ilvl w:val="0"/>
                <w:numId w:val="1"/>
              </w:num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团队成员中具有旅游专业相关的教授职称的得3分/每人，其他情况不得分，本项最高6分。以上2项得分累计满分15分，最低0分。（</w:t>
            </w:r>
            <w:r>
              <w:rPr>
                <w:rFonts w:ascii="仿宋_GB2312" w:hAnsi="仿宋_GB2312" w:eastAsia="仿宋_GB2312"/>
                <w:color w:val="000000"/>
                <w:sz w:val="22"/>
                <w:szCs w:val="22"/>
              </w:rPr>
              <w:t>需提供相关人员资质证明材料复印件，不提供不得分）。</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87" w:type="dxa"/>
            <w:vMerge w:val="continue"/>
            <w:tcBorders>
              <w:left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学术研究能力</w:t>
            </w:r>
          </w:p>
          <w:p>
            <w:pPr>
              <w:adjustRightInd w:val="0"/>
              <w:snapToGrid w:val="0"/>
              <w:jc w:val="center"/>
              <w:rPr>
                <w:rFonts w:ascii="仿宋_GB2312" w:eastAsia="仿宋_GB2312"/>
                <w:color w:val="000000"/>
                <w:sz w:val="24"/>
              </w:rPr>
            </w:pPr>
            <w:r>
              <w:rPr>
                <w:rFonts w:hint="eastAsia" w:ascii="仿宋_GB2312" w:eastAsia="仿宋_GB2312"/>
                <w:color w:val="000000"/>
                <w:sz w:val="24"/>
              </w:rPr>
              <w:t>（15分）</w:t>
            </w:r>
          </w:p>
        </w:tc>
        <w:tc>
          <w:tcPr>
            <w:tcW w:w="6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2"/>
              </w:numPr>
              <w:adjustRightInd w:val="0"/>
              <w:snapToGrid w:val="0"/>
              <w:jc w:val="left"/>
              <w:rPr>
                <w:rFonts w:ascii="仿宋_GB2312" w:hAnsi="仿宋_GB2312" w:eastAsia="仿宋_GB2312"/>
                <w:color w:val="000000"/>
                <w:sz w:val="22"/>
                <w:szCs w:val="22"/>
              </w:rPr>
            </w:pPr>
            <w:r>
              <w:rPr>
                <w:rFonts w:hint="eastAsia" w:ascii="仿宋_GB2312" w:hAnsi="仿宋_GB2312" w:eastAsia="仿宋_GB2312"/>
                <w:color w:val="000000"/>
                <w:sz w:val="22"/>
                <w:szCs w:val="22"/>
              </w:rPr>
              <w:t>团队成员在旅游类中文社会科学引文索引（CSSCI）期刊上发表的学术论文数</w:t>
            </w:r>
            <w:r>
              <w:rPr>
                <w:rFonts w:ascii="仿宋_GB2312" w:hAnsi="仿宋_GB2312" w:eastAsia="仿宋_GB2312"/>
                <w:color w:val="000000"/>
                <w:sz w:val="22"/>
                <w:szCs w:val="22"/>
              </w:rPr>
              <w:t>，每提供一</w:t>
            </w:r>
            <w:r>
              <w:rPr>
                <w:rFonts w:hint="eastAsia" w:ascii="仿宋_GB2312" w:hAnsi="仿宋_GB2312" w:eastAsia="仿宋_GB2312"/>
                <w:color w:val="000000"/>
                <w:sz w:val="22"/>
                <w:szCs w:val="22"/>
              </w:rPr>
              <w:t>篇</w:t>
            </w:r>
            <w:r>
              <w:rPr>
                <w:rFonts w:ascii="仿宋_GB2312" w:hAnsi="仿宋_GB2312" w:eastAsia="仿宋_GB2312"/>
                <w:color w:val="000000"/>
                <w:sz w:val="22"/>
                <w:szCs w:val="22"/>
              </w:rPr>
              <w:t>得</w:t>
            </w:r>
            <w:r>
              <w:rPr>
                <w:rFonts w:hint="eastAsia" w:ascii="仿宋_GB2312" w:hAnsi="仿宋_GB2312" w:eastAsia="仿宋_GB2312"/>
                <w:color w:val="000000"/>
                <w:sz w:val="22"/>
                <w:szCs w:val="22"/>
              </w:rPr>
              <w:t>3</w:t>
            </w:r>
            <w:r>
              <w:rPr>
                <w:rFonts w:ascii="仿宋_GB2312" w:hAnsi="仿宋_GB2312" w:eastAsia="仿宋_GB2312"/>
                <w:color w:val="000000"/>
                <w:sz w:val="22"/>
                <w:szCs w:val="22"/>
              </w:rPr>
              <w:t>分，累计最高得</w:t>
            </w:r>
            <w:r>
              <w:rPr>
                <w:rFonts w:hint="eastAsia" w:ascii="仿宋_GB2312" w:hAnsi="仿宋_GB2312" w:eastAsia="仿宋_GB2312"/>
                <w:color w:val="000000"/>
                <w:sz w:val="22"/>
                <w:szCs w:val="22"/>
              </w:rPr>
              <w:t>9</w:t>
            </w:r>
            <w:r>
              <w:rPr>
                <w:rFonts w:ascii="仿宋_GB2312" w:hAnsi="仿宋_GB2312" w:eastAsia="仿宋_GB2312"/>
                <w:color w:val="000000"/>
                <w:sz w:val="22"/>
                <w:szCs w:val="22"/>
              </w:rPr>
              <w:t>分</w:t>
            </w:r>
            <w:r>
              <w:rPr>
                <w:rFonts w:hint="eastAsia" w:ascii="仿宋_GB2312" w:hAnsi="仿宋_GB2312" w:eastAsia="仿宋_GB2312"/>
                <w:color w:val="000000"/>
                <w:sz w:val="22"/>
                <w:szCs w:val="22"/>
              </w:rPr>
              <w:t>；</w:t>
            </w:r>
          </w:p>
          <w:p>
            <w:pPr>
              <w:numPr>
                <w:ilvl w:val="0"/>
                <w:numId w:val="2"/>
              </w:numPr>
              <w:adjustRightInd w:val="0"/>
              <w:snapToGrid w:val="0"/>
              <w:jc w:val="left"/>
              <w:rPr>
                <w:rFonts w:ascii="仿宋_GB2312" w:hAnsi="仿宋_GB2312" w:eastAsia="仿宋_GB2312"/>
                <w:color w:val="000000"/>
                <w:sz w:val="22"/>
                <w:szCs w:val="22"/>
              </w:rPr>
            </w:pPr>
            <w:r>
              <w:rPr>
                <w:rFonts w:hint="eastAsia" w:ascii="仿宋_GB2312" w:hAnsi="仿宋_GB2312" w:eastAsia="仿宋_GB2312"/>
                <w:color w:val="000000"/>
                <w:sz w:val="22"/>
                <w:szCs w:val="22"/>
              </w:rPr>
              <w:t>团队成员在旅游类国际社会科学引文索引（SSCI）期刊上发表的学术论文数，</w:t>
            </w:r>
            <w:r>
              <w:rPr>
                <w:rFonts w:ascii="仿宋_GB2312" w:hAnsi="仿宋_GB2312" w:eastAsia="仿宋_GB2312"/>
                <w:color w:val="000000"/>
                <w:sz w:val="22"/>
                <w:szCs w:val="22"/>
              </w:rPr>
              <w:t>每提供一</w:t>
            </w:r>
            <w:r>
              <w:rPr>
                <w:rFonts w:hint="eastAsia" w:ascii="仿宋_GB2312" w:hAnsi="仿宋_GB2312" w:eastAsia="仿宋_GB2312"/>
                <w:color w:val="000000"/>
                <w:sz w:val="22"/>
                <w:szCs w:val="22"/>
              </w:rPr>
              <w:t>篇</w:t>
            </w:r>
            <w:r>
              <w:rPr>
                <w:rFonts w:ascii="仿宋_GB2312" w:hAnsi="仿宋_GB2312" w:eastAsia="仿宋_GB2312"/>
                <w:color w:val="000000"/>
                <w:sz w:val="22"/>
                <w:szCs w:val="22"/>
              </w:rPr>
              <w:t>得</w:t>
            </w:r>
            <w:r>
              <w:rPr>
                <w:rFonts w:hint="eastAsia" w:ascii="仿宋_GB2312" w:hAnsi="仿宋_GB2312" w:eastAsia="仿宋_GB2312"/>
                <w:color w:val="000000"/>
                <w:sz w:val="22"/>
                <w:szCs w:val="22"/>
              </w:rPr>
              <w:t>3</w:t>
            </w:r>
            <w:r>
              <w:rPr>
                <w:rFonts w:ascii="仿宋_GB2312" w:hAnsi="仿宋_GB2312" w:eastAsia="仿宋_GB2312"/>
                <w:color w:val="000000"/>
                <w:sz w:val="22"/>
                <w:szCs w:val="22"/>
              </w:rPr>
              <w:t>分，累计最高得</w:t>
            </w:r>
            <w:r>
              <w:rPr>
                <w:rFonts w:hint="eastAsia" w:ascii="仿宋_GB2312" w:hAnsi="仿宋_GB2312" w:eastAsia="仿宋_GB2312"/>
                <w:color w:val="000000"/>
                <w:sz w:val="22"/>
                <w:szCs w:val="22"/>
              </w:rPr>
              <w:t>6</w:t>
            </w:r>
            <w:r>
              <w:rPr>
                <w:rFonts w:ascii="仿宋_GB2312" w:hAnsi="仿宋_GB2312" w:eastAsia="仿宋_GB2312"/>
                <w:color w:val="000000"/>
                <w:sz w:val="22"/>
                <w:szCs w:val="22"/>
              </w:rPr>
              <w:t>分</w:t>
            </w:r>
            <w:r>
              <w:rPr>
                <w:rFonts w:hint="eastAsia" w:ascii="仿宋_GB2312" w:hAnsi="仿宋_GB2312" w:eastAsia="仿宋_GB2312"/>
                <w:color w:val="000000"/>
                <w:sz w:val="22"/>
                <w:szCs w:val="22"/>
              </w:rPr>
              <w:t>；</w:t>
            </w:r>
          </w:p>
          <w:p>
            <w:pPr>
              <w:adjustRightInd w:val="0"/>
              <w:snapToGrid w:val="0"/>
              <w:jc w:val="left"/>
              <w:rPr>
                <w:rFonts w:ascii="仿宋_GB2312" w:hAnsi="仿宋_GB2312" w:eastAsia="仿宋_GB2312"/>
                <w:color w:val="000000"/>
                <w:sz w:val="22"/>
                <w:szCs w:val="22"/>
              </w:rPr>
            </w:pPr>
            <w:r>
              <w:rPr>
                <w:rFonts w:hint="eastAsia" w:ascii="仿宋_GB2312" w:eastAsia="仿宋_GB2312"/>
                <w:color w:val="000000"/>
                <w:sz w:val="22"/>
                <w:szCs w:val="22"/>
              </w:rPr>
              <w:t>以上2项得分累计满分15分，最低0分。</w:t>
            </w:r>
            <w:r>
              <w:rPr>
                <w:rFonts w:ascii="仿宋_GB2312" w:hAnsi="仿宋_GB2312" w:eastAsia="仿宋_GB2312"/>
                <w:color w:val="000000"/>
                <w:sz w:val="22"/>
                <w:szCs w:val="22"/>
              </w:rPr>
              <w:t>（需提供相关证明材料复印件，不提供不得分）。</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87" w:type="dxa"/>
            <w:vMerge w:val="continue"/>
            <w:tcBorders>
              <w:left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服务经验</w:t>
            </w:r>
            <w:r>
              <w:rPr>
                <w:rFonts w:hint="eastAsia" w:ascii="仿宋_GB2312" w:eastAsia="仿宋_GB2312"/>
                <w:color w:val="000000"/>
                <w:sz w:val="24"/>
              </w:rPr>
              <w:br w:type="textWrapping"/>
            </w:r>
            <w:r>
              <w:rPr>
                <w:rFonts w:hint="eastAsia" w:ascii="仿宋_GB2312" w:eastAsia="仿宋_GB2312"/>
                <w:color w:val="000000"/>
                <w:sz w:val="24"/>
              </w:rPr>
              <w:t>（10分）</w:t>
            </w:r>
          </w:p>
        </w:tc>
        <w:tc>
          <w:tcPr>
            <w:tcW w:w="6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近三年内投标单位承担过区级及以上旅游类相关的政府购买服务项目或市级及以上旅游类相关的科研课题的，每一项得5分，累计最高得10分（需提供中标通知书等相关复印件证明材料，不提供不得分）。</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87" w:type="dxa"/>
            <w:vMerge w:val="continue"/>
            <w:tcBorders>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工作</w:t>
            </w:r>
          </w:p>
          <w:p>
            <w:pPr>
              <w:adjustRightInd w:val="0"/>
              <w:snapToGrid w:val="0"/>
              <w:jc w:val="center"/>
              <w:rPr>
                <w:rFonts w:ascii="仿宋_GB2312" w:eastAsia="仿宋_GB2312"/>
                <w:sz w:val="24"/>
              </w:rPr>
            </w:pPr>
            <w:r>
              <w:rPr>
                <w:rFonts w:hint="eastAsia" w:ascii="仿宋_GB2312" w:eastAsia="仿宋_GB2312"/>
                <w:sz w:val="24"/>
              </w:rPr>
              <w:t>方案</w:t>
            </w:r>
          </w:p>
          <w:p>
            <w:pPr>
              <w:adjustRightInd w:val="0"/>
              <w:snapToGrid w:val="0"/>
              <w:jc w:val="center"/>
              <w:rPr>
                <w:rFonts w:ascii="仿宋_GB2312" w:eastAsia="仿宋_GB2312"/>
                <w:color w:val="000000"/>
                <w:sz w:val="24"/>
              </w:rPr>
            </w:pPr>
            <w:r>
              <w:rPr>
                <w:rFonts w:hint="eastAsia" w:ascii="仿宋_GB2312" w:eastAsia="仿宋_GB2312"/>
                <w:sz w:val="24"/>
              </w:rPr>
              <w:t>（40分）</w:t>
            </w:r>
          </w:p>
        </w:tc>
        <w:tc>
          <w:tcPr>
            <w:tcW w:w="656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jc w:val="left"/>
              <w:rPr>
                <w:rFonts w:ascii="仿宋_GB2312" w:eastAsia="仿宋_GB2312"/>
                <w:color w:val="000000"/>
                <w:sz w:val="22"/>
                <w:szCs w:val="22"/>
              </w:rPr>
            </w:pPr>
            <w:r>
              <w:rPr>
                <w:rFonts w:hint="eastAsia" w:ascii="仿宋_GB2312" w:eastAsia="仿宋_GB2312"/>
                <w:sz w:val="22"/>
                <w:szCs w:val="22"/>
              </w:rPr>
              <w:t>工作方案和计划内容科学完整，时间进度计划完全符合招标方要求。</w:t>
            </w:r>
            <w:r>
              <w:rPr>
                <w:rFonts w:hint="eastAsia" w:ascii="仿宋_GB2312" w:eastAsia="仿宋_GB2312"/>
                <w:b/>
                <w:sz w:val="22"/>
                <w:szCs w:val="22"/>
              </w:rPr>
              <w:t>评分说明</w:t>
            </w:r>
            <w:r>
              <w:rPr>
                <w:rFonts w:ascii="仿宋_GB2312" w:eastAsia="仿宋_GB2312"/>
                <w:b/>
                <w:sz w:val="22"/>
                <w:szCs w:val="22"/>
              </w:rPr>
              <w:t xml:space="preserve">: </w:t>
            </w:r>
            <w:r>
              <w:rPr>
                <w:rFonts w:hint="eastAsia" w:ascii="仿宋_GB2312" w:eastAsia="仿宋_GB2312"/>
                <w:sz w:val="22"/>
                <w:szCs w:val="22"/>
              </w:rPr>
              <w:t>项目实施方案</w:t>
            </w:r>
            <w:r>
              <w:rPr>
                <w:rFonts w:hint="eastAsia" w:ascii="仿宋_GB2312" w:hAnsi="宋体" w:eastAsia="仿宋_GB2312"/>
                <w:color w:val="000000"/>
                <w:sz w:val="22"/>
                <w:szCs w:val="22"/>
              </w:rPr>
              <w:t>评价为优得40分；评价为良得3</w:t>
            </w:r>
            <w:r>
              <w:rPr>
                <w:rFonts w:ascii="仿宋_GB2312" w:hAnsi="宋体" w:eastAsia="仿宋_GB2312"/>
                <w:color w:val="000000"/>
                <w:sz w:val="22"/>
                <w:szCs w:val="22"/>
              </w:rPr>
              <w:t>9-</w:t>
            </w:r>
            <w:r>
              <w:rPr>
                <w:rFonts w:hint="eastAsia" w:ascii="仿宋_GB2312" w:hAnsi="宋体" w:eastAsia="仿宋_GB2312"/>
                <w:color w:val="000000"/>
                <w:sz w:val="22"/>
                <w:szCs w:val="22"/>
              </w:rPr>
              <w:t>30分；评价为中得29</w:t>
            </w:r>
            <w:r>
              <w:rPr>
                <w:rFonts w:ascii="仿宋_GB2312" w:hAnsi="宋体" w:eastAsia="仿宋_GB2312"/>
                <w:color w:val="000000"/>
                <w:sz w:val="22"/>
                <w:szCs w:val="22"/>
              </w:rPr>
              <w:t>-</w:t>
            </w:r>
            <w:r>
              <w:rPr>
                <w:rFonts w:hint="eastAsia" w:ascii="仿宋_GB2312" w:hAnsi="宋体" w:eastAsia="仿宋_GB2312"/>
                <w:color w:val="000000"/>
                <w:sz w:val="22"/>
                <w:szCs w:val="22"/>
              </w:rPr>
              <w:t>20分；评价为差得19</w:t>
            </w:r>
            <w:r>
              <w:rPr>
                <w:rFonts w:ascii="仿宋_GB2312" w:hAnsi="宋体" w:eastAsia="仿宋_GB2312"/>
                <w:color w:val="000000"/>
                <w:sz w:val="22"/>
                <w:szCs w:val="22"/>
              </w:rPr>
              <w:t>-</w:t>
            </w:r>
            <w:r>
              <w:rPr>
                <w:rFonts w:hint="eastAsia" w:ascii="仿宋_GB2312" w:hAnsi="宋体" w:eastAsia="仿宋_GB2312"/>
                <w:color w:val="000000"/>
                <w:sz w:val="22"/>
                <w:szCs w:val="22"/>
              </w:rPr>
              <w:t>0分。</w:t>
            </w: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trPr>
        <w:tc>
          <w:tcPr>
            <w:tcW w:w="203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评分合计</w:t>
            </w:r>
          </w:p>
        </w:tc>
        <w:tc>
          <w:tcPr>
            <w:tcW w:w="6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c>
          <w:tcPr>
            <w:tcW w:w="1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_GB2312" w:eastAsia="仿宋_GB2312"/>
                <w:color w:val="000000"/>
                <w:sz w:val="24"/>
              </w:rPr>
            </w:pPr>
          </w:p>
        </w:tc>
      </w:tr>
    </w:tbl>
    <w:p>
      <w:pPr>
        <w:wordWrap w:val="0"/>
        <w:ind w:right="980"/>
        <w:rPr>
          <w:rFonts w:ascii="仿宋_GB2312" w:eastAsia="仿宋_GB2312"/>
          <w:sz w:val="28"/>
          <w:szCs w:val="28"/>
        </w:rPr>
      </w:pPr>
      <w:r>
        <w:rPr>
          <w:rFonts w:hint="eastAsia" w:ascii="仿宋_GB2312" w:eastAsia="仿宋_GB2312"/>
          <w:sz w:val="30"/>
          <w:szCs w:val="30"/>
        </w:rPr>
        <w:t xml:space="preserve">评分员签名：                                                 </w:t>
      </w:r>
      <w:r>
        <w:rPr>
          <w:rFonts w:hint="eastAsia" w:ascii="仿宋_GB2312" w:eastAsia="仿宋_GB2312"/>
          <w:sz w:val="28"/>
          <w:szCs w:val="28"/>
        </w:rPr>
        <w:t>日期：     年      月    日</w:t>
      </w:r>
    </w:p>
    <w:p>
      <w:pPr>
        <w:widowControl/>
        <w:spacing w:line="560" w:lineRule="exact"/>
        <w:jc w:val="center"/>
      </w:pPr>
    </w:p>
    <w:sectPr>
      <w:pgSz w:w="16838" w:h="11906" w:orient="landscape"/>
      <w:pgMar w:top="947" w:right="533" w:bottom="777" w:left="76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FAE58A1"/>
    <w:multiLevelType w:val="singleLevel"/>
    <w:tmpl w:val="2FAE58A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E0B9F"/>
    <w:rsid w:val="000000A2"/>
    <w:rsid w:val="00024A0A"/>
    <w:rsid w:val="00027C43"/>
    <w:rsid w:val="000358C3"/>
    <w:rsid w:val="00045D33"/>
    <w:rsid w:val="000522B6"/>
    <w:rsid w:val="00060790"/>
    <w:rsid w:val="00064568"/>
    <w:rsid w:val="00070590"/>
    <w:rsid w:val="00073CE8"/>
    <w:rsid w:val="00081B07"/>
    <w:rsid w:val="00091D96"/>
    <w:rsid w:val="0009412D"/>
    <w:rsid w:val="000B6992"/>
    <w:rsid w:val="000B7C83"/>
    <w:rsid w:val="000C489D"/>
    <w:rsid w:val="000E0193"/>
    <w:rsid w:val="000F6FB8"/>
    <w:rsid w:val="000F7ACE"/>
    <w:rsid w:val="00133E31"/>
    <w:rsid w:val="00140E48"/>
    <w:rsid w:val="00143B23"/>
    <w:rsid w:val="00154F68"/>
    <w:rsid w:val="00160875"/>
    <w:rsid w:val="001613B6"/>
    <w:rsid w:val="00165A54"/>
    <w:rsid w:val="00173028"/>
    <w:rsid w:val="00175B83"/>
    <w:rsid w:val="001817B6"/>
    <w:rsid w:val="001834DE"/>
    <w:rsid w:val="00186C53"/>
    <w:rsid w:val="00190515"/>
    <w:rsid w:val="001953D7"/>
    <w:rsid w:val="001A3AA2"/>
    <w:rsid w:val="001A596E"/>
    <w:rsid w:val="001B6AD1"/>
    <w:rsid w:val="001E1FC5"/>
    <w:rsid w:val="001E6C98"/>
    <w:rsid w:val="001F20BB"/>
    <w:rsid w:val="001F2FAE"/>
    <w:rsid w:val="001F3D10"/>
    <w:rsid w:val="0020797F"/>
    <w:rsid w:val="00207C4A"/>
    <w:rsid w:val="00217ABB"/>
    <w:rsid w:val="00227B57"/>
    <w:rsid w:val="00246C01"/>
    <w:rsid w:val="00250887"/>
    <w:rsid w:val="002653A5"/>
    <w:rsid w:val="002673DF"/>
    <w:rsid w:val="00271FE4"/>
    <w:rsid w:val="00277D3A"/>
    <w:rsid w:val="00283543"/>
    <w:rsid w:val="00291DEF"/>
    <w:rsid w:val="002B0C66"/>
    <w:rsid w:val="002C0EE6"/>
    <w:rsid w:val="002C7C0A"/>
    <w:rsid w:val="002F0203"/>
    <w:rsid w:val="002F2AF3"/>
    <w:rsid w:val="002F368C"/>
    <w:rsid w:val="002F4C15"/>
    <w:rsid w:val="0030021E"/>
    <w:rsid w:val="00307656"/>
    <w:rsid w:val="0031192D"/>
    <w:rsid w:val="00325072"/>
    <w:rsid w:val="00326DF2"/>
    <w:rsid w:val="00327E22"/>
    <w:rsid w:val="00331D80"/>
    <w:rsid w:val="00332523"/>
    <w:rsid w:val="003325D0"/>
    <w:rsid w:val="00351D84"/>
    <w:rsid w:val="003530C5"/>
    <w:rsid w:val="00375801"/>
    <w:rsid w:val="00381D43"/>
    <w:rsid w:val="003831D6"/>
    <w:rsid w:val="0038539A"/>
    <w:rsid w:val="003865B6"/>
    <w:rsid w:val="003B08A1"/>
    <w:rsid w:val="003B4C12"/>
    <w:rsid w:val="003C2411"/>
    <w:rsid w:val="0040507F"/>
    <w:rsid w:val="004128B6"/>
    <w:rsid w:val="004254CA"/>
    <w:rsid w:val="00426206"/>
    <w:rsid w:val="0042626D"/>
    <w:rsid w:val="00435197"/>
    <w:rsid w:val="004517FC"/>
    <w:rsid w:val="004553EA"/>
    <w:rsid w:val="00462F68"/>
    <w:rsid w:val="0047256C"/>
    <w:rsid w:val="004755BE"/>
    <w:rsid w:val="004807E7"/>
    <w:rsid w:val="004A065F"/>
    <w:rsid w:val="004B1F90"/>
    <w:rsid w:val="004B5FE5"/>
    <w:rsid w:val="004C4236"/>
    <w:rsid w:val="004E048D"/>
    <w:rsid w:val="004E7256"/>
    <w:rsid w:val="004F51A2"/>
    <w:rsid w:val="004F7983"/>
    <w:rsid w:val="00501185"/>
    <w:rsid w:val="00504E04"/>
    <w:rsid w:val="00507DFA"/>
    <w:rsid w:val="005128D5"/>
    <w:rsid w:val="005241D2"/>
    <w:rsid w:val="0052705A"/>
    <w:rsid w:val="0053355F"/>
    <w:rsid w:val="00552417"/>
    <w:rsid w:val="0056459D"/>
    <w:rsid w:val="005712CC"/>
    <w:rsid w:val="00576524"/>
    <w:rsid w:val="005816A2"/>
    <w:rsid w:val="00585C18"/>
    <w:rsid w:val="0059294F"/>
    <w:rsid w:val="00594B97"/>
    <w:rsid w:val="005A437E"/>
    <w:rsid w:val="005B158F"/>
    <w:rsid w:val="005C6BFB"/>
    <w:rsid w:val="005E2332"/>
    <w:rsid w:val="005E60BE"/>
    <w:rsid w:val="005F00DE"/>
    <w:rsid w:val="005F32E0"/>
    <w:rsid w:val="005F3595"/>
    <w:rsid w:val="006063FA"/>
    <w:rsid w:val="0060730A"/>
    <w:rsid w:val="0061322A"/>
    <w:rsid w:val="00616DCF"/>
    <w:rsid w:val="006302C2"/>
    <w:rsid w:val="00633763"/>
    <w:rsid w:val="00636CA1"/>
    <w:rsid w:val="00640513"/>
    <w:rsid w:val="00644C18"/>
    <w:rsid w:val="0064624E"/>
    <w:rsid w:val="00647509"/>
    <w:rsid w:val="00653A8A"/>
    <w:rsid w:val="00661B71"/>
    <w:rsid w:val="006627DD"/>
    <w:rsid w:val="006648C8"/>
    <w:rsid w:val="00674051"/>
    <w:rsid w:val="00674382"/>
    <w:rsid w:val="006801A7"/>
    <w:rsid w:val="006B4711"/>
    <w:rsid w:val="006B49BE"/>
    <w:rsid w:val="006B5B72"/>
    <w:rsid w:val="006C0E90"/>
    <w:rsid w:val="006C2C1D"/>
    <w:rsid w:val="006C3F25"/>
    <w:rsid w:val="006C4FB9"/>
    <w:rsid w:val="006C5800"/>
    <w:rsid w:val="006D0BFE"/>
    <w:rsid w:val="006E174F"/>
    <w:rsid w:val="007038F8"/>
    <w:rsid w:val="00706642"/>
    <w:rsid w:val="00732A5B"/>
    <w:rsid w:val="007503C5"/>
    <w:rsid w:val="00750D4A"/>
    <w:rsid w:val="00753B71"/>
    <w:rsid w:val="00757C0C"/>
    <w:rsid w:val="00767A71"/>
    <w:rsid w:val="00784176"/>
    <w:rsid w:val="007963BC"/>
    <w:rsid w:val="007A0085"/>
    <w:rsid w:val="007A175F"/>
    <w:rsid w:val="007D026E"/>
    <w:rsid w:val="007D3675"/>
    <w:rsid w:val="007E614A"/>
    <w:rsid w:val="007F6234"/>
    <w:rsid w:val="008043A1"/>
    <w:rsid w:val="00812F20"/>
    <w:rsid w:val="00813D3B"/>
    <w:rsid w:val="00832E55"/>
    <w:rsid w:val="00836F11"/>
    <w:rsid w:val="0084456A"/>
    <w:rsid w:val="008576CD"/>
    <w:rsid w:val="0088463A"/>
    <w:rsid w:val="0088555A"/>
    <w:rsid w:val="00885EE7"/>
    <w:rsid w:val="008862F4"/>
    <w:rsid w:val="008915CB"/>
    <w:rsid w:val="00893E41"/>
    <w:rsid w:val="0089618C"/>
    <w:rsid w:val="008A5CDF"/>
    <w:rsid w:val="008B500F"/>
    <w:rsid w:val="008D5698"/>
    <w:rsid w:val="008E0739"/>
    <w:rsid w:val="008E468F"/>
    <w:rsid w:val="008F2D80"/>
    <w:rsid w:val="008F4D63"/>
    <w:rsid w:val="00921B34"/>
    <w:rsid w:val="00926D79"/>
    <w:rsid w:val="00933EF2"/>
    <w:rsid w:val="00934AAD"/>
    <w:rsid w:val="0093585C"/>
    <w:rsid w:val="00942795"/>
    <w:rsid w:val="00945EB9"/>
    <w:rsid w:val="009469EB"/>
    <w:rsid w:val="0096365E"/>
    <w:rsid w:val="009676FC"/>
    <w:rsid w:val="00974F20"/>
    <w:rsid w:val="00987E53"/>
    <w:rsid w:val="009C1813"/>
    <w:rsid w:val="009C229E"/>
    <w:rsid w:val="009E0B9F"/>
    <w:rsid w:val="009E3232"/>
    <w:rsid w:val="009E55ED"/>
    <w:rsid w:val="009E7C4C"/>
    <w:rsid w:val="009E7FEA"/>
    <w:rsid w:val="00A03838"/>
    <w:rsid w:val="00A057F4"/>
    <w:rsid w:val="00A119AB"/>
    <w:rsid w:val="00A271D1"/>
    <w:rsid w:val="00A346DB"/>
    <w:rsid w:val="00A51011"/>
    <w:rsid w:val="00A5706A"/>
    <w:rsid w:val="00A57C1B"/>
    <w:rsid w:val="00A705BB"/>
    <w:rsid w:val="00A759F8"/>
    <w:rsid w:val="00A771E6"/>
    <w:rsid w:val="00A86D66"/>
    <w:rsid w:val="00A944AA"/>
    <w:rsid w:val="00A94965"/>
    <w:rsid w:val="00A949C4"/>
    <w:rsid w:val="00A94CDA"/>
    <w:rsid w:val="00A9582F"/>
    <w:rsid w:val="00A96425"/>
    <w:rsid w:val="00A971AC"/>
    <w:rsid w:val="00A97E62"/>
    <w:rsid w:val="00AB202E"/>
    <w:rsid w:val="00AB7897"/>
    <w:rsid w:val="00AC0787"/>
    <w:rsid w:val="00AC1222"/>
    <w:rsid w:val="00AC3261"/>
    <w:rsid w:val="00AD39D5"/>
    <w:rsid w:val="00AD6A54"/>
    <w:rsid w:val="00AE255C"/>
    <w:rsid w:val="00AF7D4E"/>
    <w:rsid w:val="00B0294C"/>
    <w:rsid w:val="00B05E88"/>
    <w:rsid w:val="00B250F2"/>
    <w:rsid w:val="00B27953"/>
    <w:rsid w:val="00B27FEE"/>
    <w:rsid w:val="00B30F2F"/>
    <w:rsid w:val="00B3173B"/>
    <w:rsid w:val="00B36A40"/>
    <w:rsid w:val="00B55375"/>
    <w:rsid w:val="00B63BBE"/>
    <w:rsid w:val="00B7391E"/>
    <w:rsid w:val="00B80E2C"/>
    <w:rsid w:val="00B81B91"/>
    <w:rsid w:val="00B840F3"/>
    <w:rsid w:val="00BA0531"/>
    <w:rsid w:val="00BA188B"/>
    <w:rsid w:val="00BB5E14"/>
    <w:rsid w:val="00BC1328"/>
    <w:rsid w:val="00BC4413"/>
    <w:rsid w:val="00BC7B90"/>
    <w:rsid w:val="00BE1D93"/>
    <w:rsid w:val="00BF4A7D"/>
    <w:rsid w:val="00BF5DD0"/>
    <w:rsid w:val="00BF67B0"/>
    <w:rsid w:val="00C03E2B"/>
    <w:rsid w:val="00C05503"/>
    <w:rsid w:val="00C055CB"/>
    <w:rsid w:val="00C05746"/>
    <w:rsid w:val="00C22E91"/>
    <w:rsid w:val="00C303C9"/>
    <w:rsid w:val="00C350B6"/>
    <w:rsid w:val="00C4008A"/>
    <w:rsid w:val="00C464D1"/>
    <w:rsid w:val="00C51582"/>
    <w:rsid w:val="00C6100B"/>
    <w:rsid w:val="00C63553"/>
    <w:rsid w:val="00C66ABC"/>
    <w:rsid w:val="00C95ADF"/>
    <w:rsid w:val="00CA42F3"/>
    <w:rsid w:val="00CB194D"/>
    <w:rsid w:val="00CE455E"/>
    <w:rsid w:val="00D048C8"/>
    <w:rsid w:val="00D12BA9"/>
    <w:rsid w:val="00D1346C"/>
    <w:rsid w:val="00D17B6D"/>
    <w:rsid w:val="00D23701"/>
    <w:rsid w:val="00D23D51"/>
    <w:rsid w:val="00D40D52"/>
    <w:rsid w:val="00D414A4"/>
    <w:rsid w:val="00D705EF"/>
    <w:rsid w:val="00D93AD0"/>
    <w:rsid w:val="00D94CDD"/>
    <w:rsid w:val="00DA4DC2"/>
    <w:rsid w:val="00DB5023"/>
    <w:rsid w:val="00DB602D"/>
    <w:rsid w:val="00DC27F6"/>
    <w:rsid w:val="00DC3C06"/>
    <w:rsid w:val="00DC638C"/>
    <w:rsid w:val="00DC706D"/>
    <w:rsid w:val="00DE416C"/>
    <w:rsid w:val="00E22678"/>
    <w:rsid w:val="00E337A5"/>
    <w:rsid w:val="00E36A0D"/>
    <w:rsid w:val="00E417E1"/>
    <w:rsid w:val="00E55782"/>
    <w:rsid w:val="00E6542F"/>
    <w:rsid w:val="00E665E2"/>
    <w:rsid w:val="00E71580"/>
    <w:rsid w:val="00E77829"/>
    <w:rsid w:val="00E80C1E"/>
    <w:rsid w:val="00E91792"/>
    <w:rsid w:val="00E9193E"/>
    <w:rsid w:val="00EB2961"/>
    <w:rsid w:val="00EB6221"/>
    <w:rsid w:val="00EC095A"/>
    <w:rsid w:val="00ED0CC2"/>
    <w:rsid w:val="00F00AB5"/>
    <w:rsid w:val="00F06238"/>
    <w:rsid w:val="00F128E0"/>
    <w:rsid w:val="00F177A9"/>
    <w:rsid w:val="00F24179"/>
    <w:rsid w:val="00F27667"/>
    <w:rsid w:val="00F30AE9"/>
    <w:rsid w:val="00F31DC1"/>
    <w:rsid w:val="00F32507"/>
    <w:rsid w:val="00F41561"/>
    <w:rsid w:val="00F442EA"/>
    <w:rsid w:val="00F5182A"/>
    <w:rsid w:val="00F65257"/>
    <w:rsid w:val="00F7490A"/>
    <w:rsid w:val="00F85F1D"/>
    <w:rsid w:val="00F9240C"/>
    <w:rsid w:val="00F96F76"/>
    <w:rsid w:val="00F9706E"/>
    <w:rsid w:val="00F97D14"/>
    <w:rsid w:val="00FA2871"/>
    <w:rsid w:val="00FA65E7"/>
    <w:rsid w:val="00FB0FEA"/>
    <w:rsid w:val="00FB4385"/>
    <w:rsid w:val="00FC53A8"/>
    <w:rsid w:val="00FD244E"/>
    <w:rsid w:val="00FD72A9"/>
    <w:rsid w:val="00FF298C"/>
    <w:rsid w:val="00FF6EF4"/>
    <w:rsid w:val="01067FB8"/>
    <w:rsid w:val="03A63240"/>
    <w:rsid w:val="0B553008"/>
    <w:rsid w:val="0BC85FF0"/>
    <w:rsid w:val="0E834030"/>
    <w:rsid w:val="133C69D8"/>
    <w:rsid w:val="1D5C1E05"/>
    <w:rsid w:val="1F103B9F"/>
    <w:rsid w:val="22037963"/>
    <w:rsid w:val="24C74480"/>
    <w:rsid w:val="266B712C"/>
    <w:rsid w:val="275835D2"/>
    <w:rsid w:val="3B5114B4"/>
    <w:rsid w:val="47A371F5"/>
    <w:rsid w:val="4A34492A"/>
    <w:rsid w:val="577F0DEE"/>
    <w:rsid w:val="5A112010"/>
    <w:rsid w:val="5FB26EDD"/>
    <w:rsid w:val="68E77C75"/>
    <w:rsid w:val="6BC01357"/>
    <w:rsid w:val="7FB238E7"/>
    <w:rsid w:val="7FE7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
    <w:qFormat/>
    <w:uiPriority w:val="0"/>
    <w:pPr>
      <w:ind w:firstLine="420" w:firstLineChars="200"/>
    </w:pPr>
    <w:rPr>
      <w:szCs w:val="24"/>
    </w:rPr>
  </w:style>
  <w:style w:type="paragraph" w:styleId="3">
    <w:name w:val="annotation text"/>
    <w:basedOn w:val="1"/>
    <w:link w:val="19"/>
    <w:qFormat/>
    <w:uiPriority w:val="0"/>
    <w:pPr>
      <w:jc w:val="left"/>
    </w:pPr>
  </w:style>
  <w:style w:type="paragraph" w:styleId="4">
    <w:name w:val="Balloon Text"/>
    <w:basedOn w:val="1"/>
    <w:link w:val="21"/>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sz w:val="24"/>
    </w:rPr>
  </w:style>
  <w:style w:type="paragraph" w:styleId="8">
    <w:name w:val="annotation subject"/>
    <w:basedOn w:val="3"/>
    <w:next w:val="3"/>
    <w:link w:val="20"/>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paragraph" w:customStyle="1" w:styleId="14">
    <w:name w:val="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5">
    <w:name w:val="正文缩进 Char"/>
    <w:basedOn w:val="11"/>
    <w:link w:val="2"/>
    <w:qFormat/>
    <w:uiPriority w:val="0"/>
    <w:rPr>
      <w:rFonts w:eastAsia="宋体"/>
      <w:kern w:val="2"/>
      <w:sz w:val="21"/>
      <w:szCs w:val="24"/>
      <w:lang w:val="en-US" w:eastAsia="zh-CN" w:bidi="ar-SA"/>
    </w:rPr>
  </w:style>
  <w:style w:type="character" w:customStyle="1" w:styleId="16">
    <w:name w:val="页眉 Char"/>
    <w:basedOn w:val="11"/>
    <w:link w:val="6"/>
    <w:qFormat/>
    <w:uiPriority w:val="0"/>
    <w:rPr>
      <w:kern w:val="2"/>
      <w:sz w:val="18"/>
      <w:szCs w:val="18"/>
    </w:rPr>
  </w:style>
  <w:style w:type="character" w:customStyle="1" w:styleId="17">
    <w:name w:val="页脚 Char"/>
    <w:basedOn w:val="11"/>
    <w:link w:val="5"/>
    <w:qFormat/>
    <w:uiPriority w:val="0"/>
    <w:rPr>
      <w:kern w:val="2"/>
      <w:sz w:val="18"/>
      <w:szCs w:val="18"/>
    </w:rPr>
  </w:style>
  <w:style w:type="paragraph" w:customStyle="1" w:styleId="18">
    <w:name w:val="p0"/>
    <w:basedOn w:val="1"/>
    <w:qFormat/>
    <w:uiPriority w:val="0"/>
    <w:pPr>
      <w:widowControl/>
    </w:pPr>
    <w:rPr>
      <w:kern w:val="0"/>
      <w:szCs w:val="21"/>
    </w:rPr>
  </w:style>
  <w:style w:type="character" w:customStyle="1" w:styleId="19">
    <w:name w:val="批注文字 Char"/>
    <w:basedOn w:val="11"/>
    <w:link w:val="3"/>
    <w:qFormat/>
    <w:uiPriority w:val="0"/>
    <w:rPr>
      <w:kern w:val="2"/>
      <w:sz w:val="21"/>
    </w:rPr>
  </w:style>
  <w:style w:type="character" w:customStyle="1" w:styleId="20">
    <w:name w:val="批注主题 Char"/>
    <w:basedOn w:val="19"/>
    <w:link w:val="8"/>
    <w:qFormat/>
    <w:uiPriority w:val="0"/>
    <w:rPr>
      <w:b/>
      <w:bCs/>
      <w:kern w:val="2"/>
      <w:sz w:val="21"/>
    </w:rPr>
  </w:style>
  <w:style w:type="character" w:customStyle="1" w:styleId="21">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EFAC0-98D5-4D80-B0B9-D516B087BE27}">
  <ds:schemaRefs/>
</ds:datastoreItem>
</file>

<file path=docProps/app.xml><?xml version="1.0" encoding="utf-8"?>
<Properties xmlns="http://schemas.openxmlformats.org/officeDocument/2006/extended-properties" xmlns:vt="http://schemas.openxmlformats.org/officeDocument/2006/docPropsVTypes">
  <Template>Normal</Template>
  <Pages>6</Pages>
  <Words>315</Words>
  <Characters>1796</Characters>
  <Lines>14</Lines>
  <Paragraphs>4</Paragraphs>
  <TotalTime>2</TotalTime>
  <ScaleCrop>false</ScaleCrop>
  <LinksUpToDate>false</LinksUpToDate>
  <CharactersWithSpaces>2107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2021-04-07T03:41:00Z</dcterms:created>
  <dc:creator>周前</dc:creator>
  <cp:lastModifiedBy>小容</cp:lastModifiedBy>
  <dcterms:modified xsi:type="dcterms:W3CDTF">2021-04-19T01:29:57Z</dcterms:modified>
  <dc:title>深圳市文体旅游局关于承接旅游业统计职能转移投标邀请函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3E5B7A06561D404B910F8B83241657A7</vt:lpwstr>
  </property>
</Properties>
</file>