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kern w:val="0"/>
        </w:rPr>
      </w:pPr>
      <w:r>
        <w:rPr>
          <w:kern w:val="0"/>
        </w:rPr>
        <w:t>金融办廉政建设制度</w:t>
      </w:r>
    </w:p>
    <w:p>
      <w:pPr>
        <w:pStyle w:val="13"/>
        <w:rPr>
          <w:kern w:val="0"/>
        </w:rPr>
      </w:pPr>
      <w:r>
        <w:rPr>
          <w:kern w:val="0"/>
        </w:rPr>
        <w:t> </w:t>
      </w:r>
    </w:p>
    <w:p>
      <w:pPr>
        <w:pStyle w:val="13"/>
        <w:rPr>
          <w:kern w:val="0"/>
        </w:rPr>
      </w:pPr>
      <w:r>
        <w:rPr>
          <w:kern w:val="0"/>
        </w:rPr>
        <w:t>为加强廉政建设，保证全办领导干部和工作人员廉洁从政，根据党中央、省委、市委廉政建设的有关规定和本办工作实际，特制定本制度。</w:t>
      </w:r>
    </w:p>
    <w:p>
      <w:pPr>
        <w:pStyle w:val="13"/>
        <w:rPr>
          <w:kern w:val="0"/>
        </w:rPr>
      </w:pPr>
      <w:r>
        <w:rPr>
          <w:kern w:val="0"/>
        </w:rPr>
        <w:t>一、把廉政建设工作作为大事列为办工作重要议事日程，建立党组统一领导，党政齐抓共管，主要领导亲自抓，部门各负其责的廉政建设领导机制。</w:t>
      </w:r>
    </w:p>
    <w:p>
      <w:pPr>
        <w:pStyle w:val="13"/>
        <w:rPr>
          <w:kern w:val="0"/>
        </w:rPr>
      </w:pPr>
      <w:r>
        <w:rPr>
          <w:kern w:val="0"/>
        </w:rPr>
        <w:t>二、加强政治纪律、组织纪律。领导干部带头学政治、讲政治，保持政治上的坚定性、敏锐性和思想道德的纯洁性。认真贯彻执行党的路线、方针、政策和决议，保证中央政令畅通。</w:t>
      </w:r>
    </w:p>
    <w:p>
      <w:pPr>
        <w:pStyle w:val="13"/>
        <w:rPr>
          <w:kern w:val="0"/>
        </w:rPr>
      </w:pPr>
      <w:r>
        <w:rPr>
          <w:kern w:val="0"/>
        </w:rPr>
        <w:t>三、全体工作人员要遵纪守法，严格遵守《深圳市国家公务员廉政准则》和上级有关廉政建设的规定，领导干部在用车、住房、公务活动等方面遵守中纪委关于领导干部廉洁自律的“十个不准”，在廉政建设中以身作则，起表率作用。</w:t>
      </w:r>
    </w:p>
    <w:p>
      <w:pPr>
        <w:pStyle w:val="13"/>
        <w:rPr>
          <w:kern w:val="0"/>
        </w:rPr>
      </w:pPr>
      <w:r>
        <w:rPr>
          <w:kern w:val="0"/>
        </w:rPr>
        <w:t>四、开展经常性的廉政教育。组织全体工作人员学习中央、省、市有关加强廉政建设的政策、规定，树立正确的世界观、人生观和价值观，提高反腐</w:t>
      </w:r>
      <w:r>
        <w:rPr>
          <w:rFonts w:hint="eastAsia"/>
          <w:kern w:val="0"/>
          <w:lang w:val="en-US" w:eastAsia="zh-CN"/>
        </w:rPr>
        <w:t>倡</w:t>
      </w:r>
      <w:r>
        <w:rPr>
          <w:kern w:val="0"/>
        </w:rPr>
        <w:t>廉的自觉</w:t>
      </w:r>
      <w:bookmarkStart w:id="0" w:name="_GoBack"/>
      <w:bookmarkEnd w:id="0"/>
      <w:r>
        <w:rPr>
          <w:kern w:val="0"/>
        </w:rPr>
        <w:t>性。要过好权力关、地位关、人情关、金钱关和道德关，廉洁从政、勤政为民。每年七月定为“廉政教育月”，由党组组织全体党员及工作人员进行党风、党纪、政风、政纪的教育学习。</w:t>
      </w:r>
    </w:p>
    <w:p>
      <w:pPr>
        <w:pStyle w:val="13"/>
        <w:rPr>
          <w:kern w:val="0"/>
        </w:rPr>
      </w:pPr>
      <w:r>
        <w:rPr>
          <w:kern w:val="0"/>
        </w:rPr>
        <w:t>五、全办党员干部要发扬艰苦朴素、勤俭节约的优良传统，自觉抵制拜金主义、享乐主义和极端个人主义思想的侵蚀，保持艰苦创业的拓荒牛精神，自觉维护人民利益、公共利益。树立全心全意为金融单位服务、为人民服务的思想，开拓、创新、团结、奉献，提高工作效率，讲实话，办实事，不虚报、瞒报工作情况，不推卸、逃避工作责任，为金融单位、金融人才</w:t>
      </w:r>
      <w:r>
        <w:rPr>
          <w:rFonts w:hint="eastAsia"/>
          <w:kern w:val="0"/>
          <w:lang w:val="en-US" w:eastAsia="zh-CN"/>
        </w:rPr>
        <w:t>排忧</w:t>
      </w:r>
      <w:r>
        <w:rPr>
          <w:kern w:val="0"/>
        </w:rPr>
        <w:t>解难。</w:t>
      </w:r>
    </w:p>
    <w:p>
      <w:pPr>
        <w:pStyle w:val="13"/>
        <w:rPr>
          <w:kern w:val="0"/>
        </w:rPr>
      </w:pPr>
      <w:r>
        <w:rPr>
          <w:kern w:val="0"/>
        </w:rPr>
        <w:t>六、严格执行国家的财经纪律，国家、省、市的金融方针政策、规定，坚持原则，忠于职守，严禁利用工作之便搞不正之风。不得授意服务单位为自己办私事、谋取私利。严禁收受贿赂，不得利用办事机会接受对方国内外旅游、宴请及其他消费活动。</w:t>
      </w:r>
    </w:p>
    <w:p>
      <w:pPr>
        <w:pStyle w:val="13"/>
        <w:rPr>
          <w:kern w:val="0"/>
        </w:rPr>
      </w:pPr>
      <w:r>
        <w:rPr>
          <w:kern w:val="0"/>
        </w:rPr>
        <w:t>七、坚持“两公开一监督”制度，实行政务公开，建立和健全权力分解制约、干部岗位轮换与交流、干部回避和民主评议干部等制度。增加机关内部事务透明度，在干部调配、人员使用、提薪提职、职工福利等方面，应认真履行工作程序，为廉政建设创造良好内部环境。</w:t>
      </w:r>
    </w:p>
    <w:p>
      <w:pPr>
        <w:pStyle w:val="13"/>
        <w:rPr>
          <w:kern w:val="0"/>
        </w:rPr>
      </w:pPr>
      <w:r>
        <w:rPr>
          <w:kern w:val="0"/>
        </w:rPr>
        <w:t>八、建立礼金、礼品登记制度和处级以上领导干部收入申报登记制度。公务活动中收受的礼金、有价证券或推辞不了而收受的钱物，超过50元的要登记，200元以上的要及时上交办综合处，由组织按有关规定处理。处级以上干部要自觉执行每半年一次的个人收入申报登记，综合处负责落实检查。</w:t>
      </w:r>
    </w:p>
    <w:p>
      <w:pPr>
        <w:pStyle w:val="13"/>
        <w:rPr>
          <w:kern w:val="0"/>
        </w:rPr>
      </w:pPr>
      <w:r>
        <w:rPr>
          <w:kern w:val="0"/>
        </w:rPr>
        <w:t>九、坚持抓好党内民主生活会制度，积极开展批评与自我批评，加强相互监督，特别是对党员领导干部的批评监督。抓好年度考核，把廉洁勤政作为考核干部业绩的重要内容。</w:t>
      </w:r>
    </w:p>
    <w:p>
      <w:pPr>
        <w:pStyle w:val="13"/>
        <w:rPr>
          <w:kern w:val="0"/>
        </w:rPr>
      </w:pPr>
      <w:r>
        <w:rPr>
          <w:kern w:val="0"/>
        </w:rPr>
        <w:t>十、本制度由综合处负责解释。</w:t>
      </w:r>
    </w:p>
    <w:p>
      <w:pPr>
        <w:pStyle w:val="13"/>
        <w:rPr>
          <w:kern w:val="0"/>
        </w:rPr>
      </w:pPr>
      <w:r>
        <w:rPr>
          <w:kern w:val="0"/>
        </w:rPr>
        <w:t>十一、本制度自印发之日起实施。全体工作人员必须严格遵守，互相监督。</w:t>
      </w:r>
    </w:p>
    <w:p>
      <w:pPr>
        <w:pStyle w:val="1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D3D"/>
    <w:rsid w:val="0005458C"/>
    <w:rsid w:val="00125E22"/>
    <w:rsid w:val="00800EBB"/>
    <w:rsid w:val="00AE1D3D"/>
    <w:rsid w:val="00C533D9"/>
    <w:rsid w:val="00C60AD3"/>
    <w:rsid w:val="543A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函 标题"/>
    <w:basedOn w:val="1"/>
    <w:link w:val="12"/>
    <w:qFormat/>
    <w:uiPriority w:val="0"/>
    <w:pPr>
      <w:tabs>
        <w:tab w:val="left" w:pos="7020"/>
      </w:tabs>
      <w:spacing w:line="60" w:lineRule="auto"/>
      <w:ind w:right="69" w:rightChars="33"/>
      <w:jc w:val="center"/>
    </w:pPr>
    <w:rPr>
      <w:b/>
      <w:bCs/>
      <w:kern w:val="44"/>
      <w:sz w:val="44"/>
      <w:szCs w:val="44"/>
    </w:rPr>
  </w:style>
  <w:style w:type="character" w:customStyle="1" w:styleId="12">
    <w:name w:val="函 标题 Char"/>
    <w:basedOn w:val="6"/>
    <w:link w:val="11"/>
    <w:uiPriority w:val="0"/>
    <w:rPr>
      <w:b/>
      <w:bCs/>
      <w:kern w:val="44"/>
      <w:sz w:val="44"/>
      <w:szCs w:val="44"/>
    </w:rPr>
  </w:style>
  <w:style w:type="paragraph" w:customStyle="1" w:styleId="13">
    <w:name w:val="函 正文"/>
    <w:basedOn w:val="1"/>
    <w:link w:val="14"/>
    <w:qFormat/>
    <w:uiPriority w:val="0"/>
    <w:pPr>
      <w:spacing w:line="560" w:lineRule="exact"/>
    </w:pPr>
    <w:rPr>
      <w:rFonts w:ascii="仿宋_GB2312" w:eastAsia="仿宋_GB2312"/>
      <w:sz w:val="32"/>
      <w:szCs w:val="24"/>
    </w:rPr>
  </w:style>
  <w:style w:type="character" w:customStyle="1" w:styleId="14">
    <w:name w:val="函 正文 Char"/>
    <w:basedOn w:val="6"/>
    <w:link w:val="13"/>
    <w:uiPriority w:val="0"/>
    <w:rPr>
      <w:rFonts w:ascii="仿宋_GB2312" w:eastAsia="仿宋_GB2312"/>
      <w:sz w:val="32"/>
      <w:szCs w:val="24"/>
    </w:rPr>
  </w:style>
  <w:style w:type="paragraph" w:customStyle="1" w:styleId="15">
    <w:name w:val="函 一级标题"/>
    <w:basedOn w:val="13"/>
    <w:link w:val="16"/>
    <w:qFormat/>
    <w:uiPriority w:val="0"/>
    <w:pPr>
      <w:ind w:firstLine="848" w:firstLineChars="265"/>
    </w:pPr>
    <w:rPr>
      <w:rFonts w:ascii="黑体" w:eastAsia="黑体"/>
      <w:color w:val="000000"/>
      <w:kern w:val="0"/>
      <w:szCs w:val="32"/>
    </w:rPr>
  </w:style>
  <w:style w:type="character" w:customStyle="1" w:styleId="16">
    <w:name w:val="函 一级标题 Char"/>
    <w:basedOn w:val="14"/>
    <w:link w:val="15"/>
    <w:uiPriority w:val="0"/>
    <w:rPr>
      <w:rFonts w:ascii="黑体" w:eastAsia="黑体"/>
      <w:color w:val="000000"/>
      <w:kern w:val="0"/>
      <w:szCs w:val="32"/>
    </w:rPr>
  </w:style>
  <w:style w:type="paragraph" w:customStyle="1" w:styleId="17">
    <w:name w:val="函 二级标题"/>
    <w:basedOn w:val="1"/>
    <w:link w:val="18"/>
    <w:qFormat/>
    <w:uiPriority w:val="0"/>
    <w:pPr>
      <w:spacing w:line="560" w:lineRule="exact"/>
      <w:jc w:val="center"/>
    </w:pPr>
    <w:rPr>
      <w:rFonts w:ascii="楷体_GB2312" w:eastAsia="楷体_GB2312"/>
      <w:sz w:val="32"/>
      <w:szCs w:val="32"/>
    </w:rPr>
  </w:style>
  <w:style w:type="character" w:customStyle="1" w:styleId="18">
    <w:name w:val="函 二级标题 Char"/>
    <w:basedOn w:val="6"/>
    <w:link w:val="17"/>
    <w:uiPriority w:val="0"/>
    <w:rPr>
      <w:rFonts w:ascii="楷体_GB2312" w:eastAsia="楷体_GB2312"/>
      <w:sz w:val="32"/>
      <w:szCs w:val="32"/>
    </w:rPr>
  </w:style>
  <w:style w:type="paragraph" w:customStyle="1" w:styleId="19">
    <w:name w:val="函 三级标题"/>
    <w:basedOn w:val="17"/>
    <w:link w:val="20"/>
    <w:qFormat/>
    <w:uiPriority w:val="0"/>
    <w:rPr>
      <w:rFonts w:ascii="仿宋_GB2312" w:eastAsia="仿宋_GB2312"/>
      <w:b/>
    </w:rPr>
  </w:style>
  <w:style w:type="character" w:customStyle="1" w:styleId="20">
    <w:name w:val="函 三级标题 Char"/>
    <w:basedOn w:val="18"/>
    <w:link w:val="19"/>
    <w:uiPriority w:val="0"/>
    <w:rPr>
      <w:rFonts w:ascii="仿宋_GB2312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169</Words>
  <Characters>968</Characters>
  <Lines>8</Lines>
  <Paragraphs>2</Paragraphs>
  <TotalTime>6</TotalTime>
  <ScaleCrop>false</ScaleCrop>
  <LinksUpToDate>false</LinksUpToDate>
  <CharactersWithSpaces>1135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2012-09-04T09:11:00Z</dcterms:created>
  <dc:creator>me</dc:creator>
  <cp:lastModifiedBy>鱼儿晒太阳</cp:lastModifiedBy>
  <dcterms:modified xsi:type="dcterms:W3CDTF">2021-02-22T09:01:35Z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