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spacing w:line="579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5"/>
        <w:bidi w:val="0"/>
        <w:spacing w:line="579" w:lineRule="exact"/>
        <w:rPr>
          <w:rFonts w:hint="eastAsia" w:ascii="黑体" w:hAnsi="黑体" w:eastAsia="黑体" w:cs="黑体"/>
          <w:szCs w:val="32"/>
          <w:lang w:val="en-US" w:eastAsia="zh-CN"/>
        </w:rPr>
      </w:pPr>
    </w:p>
    <w:p>
      <w:pPr>
        <w:pStyle w:val="5"/>
        <w:bidi w:val="0"/>
        <w:spacing w:after="160" w:afterLines="5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深汕特别合作区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征收农用地区片综合地价表</w:t>
      </w:r>
    </w:p>
    <w:bookmarkEnd w:id="0"/>
    <w:tbl>
      <w:tblPr>
        <w:tblStyle w:val="3"/>
        <w:tblW w:w="137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009"/>
        <w:gridCol w:w="1426"/>
        <w:gridCol w:w="1210"/>
        <w:gridCol w:w="1418"/>
        <w:gridCol w:w="1162"/>
        <w:gridCol w:w="1307"/>
        <w:gridCol w:w="4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区域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区片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区片综合地价（万元/亩）</w:t>
            </w:r>
          </w:p>
        </w:tc>
        <w:tc>
          <w:tcPr>
            <w:tcW w:w="4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区片范围描述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土地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补偿费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占比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安置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补助费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占比</w:t>
            </w:r>
          </w:p>
        </w:tc>
        <w:tc>
          <w:tcPr>
            <w:tcW w:w="4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深汕特别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合作区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2.04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4.76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4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鹅埠镇（所有行政村）；鲘门镇（所有行政村）；小漠镇（所有行政村）；赤石镇（所有行政村）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</w:rPr>
        <w:t>不设定农用地地类调节系数；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2.征收建设用地参照征收农用地区片综合地价执行；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3.征收未利用地参照征收农用地区片综合地价执行。</w:t>
      </w:r>
    </w:p>
    <w:p>
      <w:pPr>
        <w:spacing w:line="579" w:lineRule="exact"/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375E2"/>
    <w:rsid w:val="2F9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/>
      <w:outlineLvl w:val="0"/>
    </w:pPr>
    <w:rPr>
      <w:rFonts w:eastAsia="黑体"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式格式"/>
    <w:basedOn w:val="1"/>
    <w:qFormat/>
    <w:uiPriority w:val="0"/>
    <w:pPr>
      <w:spacing w:line="560" w:lineRule="exact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2021-02-10T08:01:00Z</dcterms:created>
  <dc:creator>来临危机</dc:creator>
  <cp:lastModifiedBy>来临危机</cp:lastModifiedBy>
  <dcterms:modified xsi:type="dcterms:W3CDTF">2021-02-10T08:02:09Z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