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608"/>
        <w:gridCol w:w="7159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538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pStyle w:val="7"/>
              <w:spacing w:line="560" w:lineRule="exact"/>
              <w:ind w:left="1043" w:hanging="104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附件</w:t>
            </w:r>
          </w:p>
          <w:p>
            <w:pPr>
              <w:pStyle w:val="2"/>
              <w:snapToGri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2020年度战略性新兴产业专项资金绿色低碳扶持计划</w:t>
            </w:r>
          </w:p>
          <w:p>
            <w:pPr>
              <w:pStyle w:val="2"/>
              <w:snapToGrid w:val="0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第四批资助项目计划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</w:rPr>
              <w:t>新能源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产业链关键环节提升扶持计划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7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深圳市蓝海华腾技术股份有限公司</w:t>
            </w:r>
          </w:p>
        </w:tc>
        <w:tc>
          <w:tcPr>
            <w:tcW w:w="7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新能源汽车车载ACU与PDU共享技术的研发与产业化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209.9874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深圳威迈斯新能源股份有限公司</w:t>
            </w:r>
          </w:p>
        </w:tc>
        <w:tc>
          <w:tcPr>
            <w:tcW w:w="7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新能源汽车车载电源集成一体机关键环节提升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422.958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节能环保产业链关键环节提升扶持计划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7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深圳市万福达精密设备股份有限公司</w:t>
            </w:r>
          </w:p>
        </w:tc>
        <w:tc>
          <w:tcPr>
            <w:tcW w:w="7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全自动高速辅料贴装机产业链关键技术的应用与提升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36.912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深圳科宏健半导体照明有限公司</w:t>
            </w:r>
          </w:p>
        </w:tc>
        <w:tc>
          <w:tcPr>
            <w:tcW w:w="7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高效节能LED防爆照明系统的研发和产业化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22.6296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深圳绿景环保再生资源有限公司</w:t>
            </w:r>
          </w:p>
        </w:tc>
        <w:tc>
          <w:tcPr>
            <w:tcW w:w="7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绿色低碳的建筑废弃物处理及再生利用项目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45.9051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1443A"/>
    <w:rsid w:val="28A1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黑体"/>
    <w:basedOn w:val="1"/>
    <w:uiPriority w:val="3"/>
    <w:pPr>
      <w:spacing w:line="540" w:lineRule="exact"/>
      <w:ind w:left="1014" w:hanging="1014" w:hangingChars="326"/>
    </w:pPr>
    <w:rPr>
      <w:rFonts w:ascii="黑体" w:hAns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2020-12-14T02:50:00Z</dcterms:created>
  <dc:creator>夏康康</dc:creator>
  <cp:lastModifiedBy>夏康康</cp:lastModifiedBy>
  <dcterms:modified xsi:type="dcterms:W3CDTF">2020-12-14T02:50:46Z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