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4</w:t>
      </w:r>
    </w:p>
    <w:p>
      <w:pPr>
        <w:spacing w:line="560" w:lineRule="exact"/>
        <w:jc w:val="center"/>
        <w:rPr>
          <w:rFonts w:ascii="仿宋_GB2312" w:cs="仿宋_GB2312"/>
        </w:rPr>
      </w:pPr>
      <w:r>
        <w:rPr>
          <w:rFonts w:hint="eastAsia" w:ascii="方正小标宋简体" w:hAnsi="方正小标宋简体" w:eastAsia="方正小标宋简体" w:cs="方正小标宋简体"/>
          <w:sz w:val="44"/>
          <w:szCs w:val="44"/>
        </w:rPr>
        <w:t>技术规格表</w:t>
      </w:r>
      <w:r>
        <w:rPr>
          <w:rFonts w:hint="eastAsia" w:ascii="仿宋_GB2312" w:cs="仿宋_GB2312"/>
        </w:rPr>
        <w:t xml:space="preserve"> </w:t>
      </w:r>
      <w:bookmarkStart w:id="0" w:name="_GoBack"/>
      <w:bookmarkEnd w:id="0"/>
    </w:p>
    <w:tbl>
      <w:tblPr>
        <w:tblStyle w:val="6"/>
        <w:tblW w:w="10740" w:type="dxa"/>
        <w:jc w:val="center"/>
        <w:tblLayout w:type="fixed"/>
        <w:tblCellMar>
          <w:top w:w="0" w:type="dxa"/>
          <w:left w:w="108" w:type="dxa"/>
          <w:bottom w:w="0" w:type="dxa"/>
          <w:right w:w="108" w:type="dxa"/>
        </w:tblCellMar>
      </w:tblPr>
      <w:tblGrid>
        <w:gridCol w:w="846"/>
        <w:gridCol w:w="842"/>
        <w:gridCol w:w="6400"/>
        <w:gridCol w:w="1092"/>
        <w:gridCol w:w="1560"/>
      </w:tblGrid>
      <w:tr>
        <w:tblPrEx>
          <w:tblCellMar>
            <w:top w:w="0" w:type="dxa"/>
            <w:left w:w="108" w:type="dxa"/>
            <w:bottom w:w="0" w:type="dxa"/>
            <w:right w:w="108" w:type="dxa"/>
          </w:tblCellMar>
        </w:tblPrEx>
        <w:trPr>
          <w:trHeight w:val="312"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842"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项目</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招标参数</w:t>
            </w:r>
          </w:p>
        </w:tc>
        <w:tc>
          <w:tcPr>
            <w:tcW w:w="10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投标参数</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满足情况（正偏离、负偏离、无偏离）</w:t>
            </w:r>
          </w:p>
        </w:tc>
      </w:tr>
      <w:tr>
        <w:tblPrEx>
          <w:tblCellMar>
            <w:top w:w="0" w:type="dxa"/>
            <w:left w:w="108" w:type="dxa"/>
            <w:bottom w:w="0" w:type="dxa"/>
            <w:right w:w="108" w:type="dxa"/>
          </w:tblCellMar>
        </w:tblPrEx>
        <w:trPr>
          <w:trHeight w:val="360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4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中文语音识别转写</w:t>
            </w:r>
          </w:p>
        </w:tc>
        <w:tc>
          <w:tcPr>
            <w:tcW w:w="6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1、安装在便携式主机中的离线语音转写引擎，支持在保障安全的离线场景下将接收的语音实时转写成文字。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仿宋" w:hAnsi="仿宋" w:eastAsia="仿宋"/>
                <w:sz w:val="20"/>
              </w:rPr>
              <w:t>▲</w:t>
            </w:r>
            <w:r>
              <w:rPr>
                <w:rFonts w:hint="eastAsia" w:ascii="宋体" w:hAnsi="宋体" w:eastAsia="宋体" w:cs="宋体"/>
                <w:kern w:val="0"/>
                <w:sz w:val="20"/>
                <w:szCs w:val="20"/>
              </w:rPr>
              <w:t>应标产品所用的核心语音识别引擎，其普通话转写指标：清晰普通话中文语音实时转写正确率≥9</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%，（必须提供具备CNAS认证的省级及以上（含省级）软件评测机构出具的检测报告）；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3、系统响应指标：常规页面操作的响应时间≤5秒；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w:t>
            </w:r>
            <w:r>
              <w:rPr>
                <w:rFonts w:hint="eastAsia" w:ascii="仿宋" w:hAnsi="仿宋" w:eastAsia="仿宋"/>
                <w:sz w:val="20"/>
              </w:rPr>
              <w:t>▲</w:t>
            </w:r>
            <w:r>
              <w:rPr>
                <w:rFonts w:hint="eastAsia" w:ascii="宋体" w:hAnsi="宋体" w:eastAsia="宋体" w:cs="宋体"/>
                <w:kern w:val="0"/>
                <w:sz w:val="20"/>
                <w:szCs w:val="20"/>
              </w:rPr>
              <w:t>转写效率指标：实时语音平均转写速度≤500毫秒，（必须提供具备CNAS认证的省级及以上（含省级）软件评测机构出具的检测报告）；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仿宋" w:hAnsi="仿宋" w:eastAsia="仿宋"/>
                <w:sz w:val="20"/>
              </w:rPr>
              <w:t>▲</w:t>
            </w:r>
            <w:r>
              <w:rPr>
                <w:rFonts w:hint="eastAsia" w:ascii="宋体" w:hAnsi="宋体" w:eastAsia="宋体" w:cs="宋体"/>
                <w:kern w:val="0"/>
                <w:sz w:val="20"/>
                <w:szCs w:val="20"/>
              </w:rPr>
              <w:t>专利及软件著作权认证：要求提供“智能会议系统”的专利和软件著作权，专利及软件著作权的名称应涵盖“智能会议系统”相关文字；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6、所投软件产品制造商具有语音识别类技术发明专利证书；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7、所投产品获得过国家级语音产业联盟颁发的语音创新产品奖项；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w:t>
            </w:r>
            <w:r>
              <w:rPr>
                <w:rFonts w:hint="eastAsia" w:ascii="仿宋" w:hAnsi="仿宋" w:eastAsia="仿宋"/>
                <w:sz w:val="20"/>
              </w:rPr>
              <w:t>▲</w:t>
            </w:r>
            <w:r>
              <w:rPr>
                <w:rFonts w:hint="eastAsia" w:ascii="宋体" w:hAnsi="宋体" w:eastAsia="宋体" w:cs="宋体"/>
                <w:kern w:val="0"/>
                <w:sz w:val="20"/>
                <w:szCs w:val="20"/>
              </w:rPr>
              <w:t>所投产品属于中央政府采购网协议供货类产品，必须提供网页查询链接以及网页截图证明；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w:t>
            </w:r>
            <w:r>
              <w:rPr>
                <w:rFonts w:hint="eastAsia" w:ascii="仿宋" w:hAnsi="仿宋" w:eastAsia="仿宋"/>
                <w:sz w:val="20"/>
              </w:rPr>
              <w:t>▲</w:t>
            </w:r>
            <w:r>
              <w:rPr>
                <w:rFonts w:hint="eastAsia" w:ascii="宋体" w:hAnsi="宋体" w:eastAsia="宋体" w:cs="宋体"/>
                <w:kern w:val="0"/>
                <w:sz w:val="20"/>
                <w:szCs w:val="20"/>
              </w:rPr>
              <w:t>授权说明：所投产品如不是投标人自己制造，必须提供制造厂商针对本项目的正式授权证明。</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751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4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应用终端软件</w:t>
            </w:r>
          </w:p>
        </w:tc>
        <w:tc>
          <w:tcPr>
            <w:tcW w:w="6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1、安装在便携式主机中的客户端软件，提供人机交互入口，具备实时语音转写和历史音频整理两大核心功能。</w:t>
            </w:r>
            <w:r>
              <w:rPr>
                <w:rFonts w:hint="eastAsia" w:ascii="宋体" w:hAnsi="宋体" w:eastAsia="宋体" w:cs="宋体"/>
                <w:color w:val="auto"/>
                <w:kern w:val="0"/>
                <w:sz w:val="20"/>
                <w:szCs w:val="20"/>
              </w:rPr>
              <w:br w:type="textWrapping"/>
            </w:r>
            <w:r>
              <w:rPr>
                <w:rFonts w:hint="eastAsia" w:ascii="宋体" w:hAnsi="宋体" w:eastAsia="宋体" w:cs="宋体"/>
                <w:b w:val="0"/>
                <w:bCs w:val="0"/>
                <w:color w:val="auto"/>
                <w:kern w:val="0"/>
                <w:sz w:val="20"/>
                <w:szCs w:val="20"/>
              </w:rPr>
              <w:t>2、应用终端软件功能要求【提供应标产品对应下述各功能点的界面截图】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1）实时语音转写：系统能够通过专业麦克风对全程进行高保真录音,并针对连续中文语音流进行实时语音转写识别，并进行转写结果文本内容的输出；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2）历史音频转写：支持导入历史音频并快速离线转写，1小时音频要求在10分钟内转写完成，要求支持mp3\wav\pcm\wma\mp4\avi等格式的音频；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3）实时编辑：支持在实时语音转写过程中对转写结果进行编辑修改。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自动分段：可通过分析采集的语音数据，利用自然语言理解技术，自动进行上下文语义理解，或根据停顿时长等实现转写文本的自动分段，提升转写文本结果的可阅读性，系统提供VAD+关键词、VAD+字数、智能语义等自动分段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5）关键词优化：支持将特定词录入系统，提升该类词汇的识别准确率。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6）禁忌词屏蔽：可自定义禁忌词，并能将此类词语以其他文字或符号替代的方式展示在转写文本中。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7）延时播放：支持会议过程中在识别结果展现之后再开始连续播放音频。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手动角色分离：如果在新建会议时添加了发言人姓名，则在会议过程中按发言人对应的快捷键F1~F12或者点击发言人姓名均可进行角色区分；在会议过程中应该支持手动添加角色信息和对角色信息进行编辑修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9）重点内容标记：支持在会议进行中、暂停时和结束时，通过选中文本来进行重点内容的标记，已标记的文本也可以进行修改和标记取消。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10）音字对照：支持根据选择原始结果或编辑结果播放文本对应的音频。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11）快速排版：要求支持在word中打开当前页面内容再进行排版编辑；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12）导出成稿：支持导出编辑后的文本、重点标记文本、全程音频文件及某一角色的转写文本。</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13）会议信息管理：支持所有实时录制的会议数据和本地上传的数据系统以列表形式进行记录保存，并且可以根据名称等信息快速检索。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14）文本优化：系统应支持用户导入现有的文本材料（应最少支持PPT、PPTX、doc、docx、TXT格式文件）进行批量优化，提升识别转写过程中的涉及到的专业词汇的识别准确率；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会议记录模式：系统应支持选择会议记录的方式，应具备会议记录模式（记录编辑区整体为统一页面，便于全程记录场景下的应用）和会议纪要模式（编辑区域分为转写区域和纪要区域，可以将转写结果拖拽、复制等方式插入纪要区域，便于会议摘要记录场景下的使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16）会议记录模板：系统应具备模板功能，便于满足不同类型会议的不同记录模板需求，应提供默认的模板及支持用户自定义模板；</w:t>
            </w:r>
            <w:r>
              <w:rPr>
                <w:rFonts w:hint="eastAsia" w:ascii="宋体" w:hAnsi="宋体" w:eastAsia="宋体" w:cs="宋体"/>
                <w:color w:val="auto"/>
                <w:kern w:val="0"/>
                <w:sz w:val="20"/>
                <w:szCs w:val="20"/>
              </w:rPr>
              <w:br w:type="textWrapping"/>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40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4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展板端软件</w:t>
            </w:r>
          </w:p>
        </w:tc>
        <w:tc>
          <w:tcPr>
            <w:tcW w:w="6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1、部署在展板端电脑的客户端软件，提供人机交互入口，可以将转写结果进行投屏的实时分享和设置;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2、功能要求如下：【提供应标产品对应下述各功能点的界面截图】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1）自定义设置：应支持对背景、logo、字体、字号、字体颜色、字幕行数、显示效果等均可自定义设置；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2）实时上屏：应支持通过现场的屏幕将转写结果投屏，进行转写结果分享；</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3）自动分段：展板显示结果可以根据主控端的设置对转写结果进行自动的分段展示；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4）角色信息显示：在主控电脑端对会议语音转写结果进行角色分离操作后，展板显示结果可以选择是否同步显示角色信息；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5）上屏后台修改：应提供上屏后台修改功能对展板端结果进行纠正。</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120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4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便携式智能会议主机</w:t>
            </w:r>
          </w:p>
        </w:tc>
        <w:tc>
          <w:tcPr>
            <w:tcW w:w="6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CPU：不低于 i7-8550U；</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内存：不低于64G；</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硬盘：不低于256G SSD+1T HDD；</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操作系统：不低于win10 64位</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150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声卡</w:t>
            </w:r>
          </w:p>
        </w:tc>
        <w:tc>
          <w:tcPr>
            <w:tcW w:w="6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类型：外置USB声卡</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接口类型：USB2.0</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采样率大于或者等于16K16bit</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支持卡侬及6.35mm音频输入接口</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支持6.35mm接口监听</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全向麦克风</w:t>
            </w:r>
          </w:p>
        </w:tc>
        <w:tc>
          <w:tcPr>
            <w:tcW w:w="6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USB接口（线长3米）；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免驱动设计，支持win7/8/10操作系统，即插即用；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全向收音，拾音距离1.5米以上</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bl>
    <w:p>
      <w:pPr>
        <w:spacing w:line="560" w:lineRule="exact"/>
        <w:jc w:val="center"/>
        <w:rPr>
          <w:rFonts w:ascii="仿宋_GB2312" w:cs="仿宋_GB2312"/>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73BE0"/>
    <w:rsid w:val="04D30DDD"/>
    <w:rsid w:val="0D586024"/>
    <w:rsid w:val="11B73BE0"/>
    <w:rsid w:val="123F7F4A"/>
    <w:rsid w:val="1FEE7F47"/>
    <w:rsid w:val="332B73FD"/>
    <w:rsid w:val="4FE01929"/>
    <w:rsid w:val="5549545E"/>
    <w:rsid w:val="5DE51679"/>
    <w:rsid w:val="64365913"/>
    <w:rsid w:val="698C2913"/>
    <w:rsid w:val="77E5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2020-11-27T02:21:00Z</dcterms:created>
  <dc:creator>袁韵恒</dc:creator>
  <cp:lastModifiedBy>Darcya</cp:lastModifiedBy>
  <cp:lastPrinted>2020-11-27T08:43:00Z</cp:lastPrinted>
  <dcterms:modified xsi:type="dcterms:W3CDTF">2020-11-30T10:07:08Z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