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line="72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tabs>
          <w:tab w:val="left" w:pos="660"/>
          <w:tab w:val="center" w:pos="4153"/>
        </w:tabs>
        <w:snapToGrid w:val="0"/>
        <w:jc w:val="center"/>
        <w:rPr>
          <w:rFonts w:hint="eastAsia" w:ascii="方正小标宋简体" w:hAnsi="方正小标宋简体" w:eastAsia="方正小标宋简体" w:cs="方正小标宋简体"/>
          <w:sz w:val="44"/>
          <w:szCs w:val="44"/>
          <w:lang w:val="en-US" w:eastAsia="zh-CN" w:bidi="ar"/>
        </w:rPr>
      </w:pPr>
      <w:r>
        <w:rPr>
          <w:rFonts w:hint="eastAsia" w:ascii="方正小标宋简体" w:hAnsi="方正小标宋简体" w:eastAsia="方正小标宋简体" w:cs="方正小标宋简体"/>
          <w:sz w:val="44"/>
          <w:szCs w:val="44"/>
          <w:lang w:val="en-US" w:eastAsia="zh-CN" w:bidi="ar"/>
        </w:rPr>
        <w:t>军休盒子</w:t>
      </w:r>
      <w:bookmarkStart w:id="0" w:name="_GoBack"/>
      <w:bookmarkEnd w:id="0"/>
      <w:r>
        <w:rPr>
          <w:rFonts w:hint="eastAsia" w:ascii="方正小标宋简体" w:hAnsi="方正小标宋简体" w:eastAsia="方正小标宋简体" w:cs="方正小标宋简体"/>
          <w:sz w:val="44"/>
          <w:szCs w:val="44"/>
          <w:lang w:val="en-US" w:eastAsia="zh-CN" w:bidi="ar"/>
        </w:rPr>
        <w:t>项目评分表</w:t>
      </w:r>
    </w:p>
    <w:p>
      <w:pPr>
        <w:spacing w:line="560" w:lineRule="exact"/>
        <w:ind w:firstLine="640" w:firstLineChars="200"/>
        <w:jc w:val="both"/>
        <w:rPr>
          <w:rFonts w:hint="eastAsia" w:ascii="方正小标宋简体" w:hAnsi="方正小标宋简体" w:eastAsia="方正小标宋简体" w:cs="方正小标宋简体"/>
          <w:b w:val="0"/>
          <w:bCs w:val="0"/>
          <w:color w:val="auto"/>
          <w:sz w:val="44"/>
          <w:szCs w:val="44"/>
          <w:highlight w:val="none"/>
        </w:rPr>
      </w:pPr>
      <w:r>
        <w:rPr>
          <w:rFonts w:hint="eastAsia" w:ascii="仿宋_GB2312" w:hAnsi="仿宋_GB2312" w:eastAsia="仿宋_GB2312" w:cs="仿宋_GB2312"/>
          <w:color w:val="000000"/>
          <w:sz w:val="32"/>
          <w:szCs w:val="32"/>
          <w:shd w:val="clear" w:color="auto" w:fill="FFFFFF"/>
        </w:rPr>
        <w:t>评标方法为综合评分法，具体评分标准和规则为：从</w:t>
      </w:r>
      <w:r>
        <w:rPr>
          <w:rFonts w:hint="eastAsia" w:ascii="仿宋_GB2312" w:hAnsi="仿宋_GB2312" w:eastAsia="仿宋_GB2312" w:cs="仿宋_GB2312"/>
          <w:color w:val="000000"/>
          <w:sz w:val="32"/>
          <w:szCs w:val="32"/>
          <w:shd w:val="clear" w:color="auto" w:fill="FFFFFF"/>
          <w:lang w:val="en-US" w:eastAsia="zh-CN"/>
        </w:rPr>
        <w:t>报价</w:t>
      </w:r>
      <w:r>
        <w:rPr>
          <w:rFonts w:hint="eastAsia" w:ascii="仿宋_GB2312" w:hAnsi="仿宋_GB2312" w:eastAsia="仿宋_GB2312" w:cs="仿宋_GB2312"/>
          <w:color w:val="000000"/>
          <w:sz w:val="32"/>
          <w:szCs w:val="32"/>
          <w:shd w:val="clear" w:color="auto" w:fill="FFFFFF"/>
        </w:rPr>
        <w:t>、技术</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商务和疫情防控四</w:t>
      </w:r>
      <w:r>
        <w:rPr>
          <w:rFonts w:hint="eastAsia" w:ascii="仿宋_GB2312" w:hAnsi="仿宋_GB2312" w:eastAsia="仿宋_GB2312" w:cs="仿宋_GB2312"/>
          <w:color w:val="000000"/>
          <w:sz w:val="32"/>
          <w:szCs w:val="32"/>
          <w:shd w:val="clear" w:color="auto" w:fill="FFFFFF"/>
        </w:rPr>
        <w:t>个部分评分因素由评标小组进行综合评分</w:t>
      </w:r>
      <w:r>
        <w:rPr>
          <w:rFonts w:hint="eastAsia" w:ascii="仿宋_GB2312" w:hAnsi="仿宋_GB2312" w:eastAsia="仿宋_GB2312" w:cs="仿宋_GB2312"/>
          <w:kern w:val="0"/>
          <w:sz w:val="32"/>
          <w:szCs w:val="32"/>
        </w:rPr>
        <w:t>。</w:t>
      </w:r>
    </w:p>
    <w:p>
      <w:pPr>
        <w:rPr>
          <w:rFonts w:hint="eastAsia"/>
        </w:rPr>
      </w:pPr>
    </w:p>
    <w:tbl>
      <w:tblPr>
        <w:tblStyle w:val="4"/>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548"/>
        <w:gridCol w:w="1"/>
        <w:gridCol w:w="1250"/>
        <w:gridCol w:w="6116"/>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blHeader/>
          <w:jc w:val="center"/>
        </w:trPr>
        <w:tc>
          <w:tcPr>
            <w:tcW w:w="635" w:type="dxa"/>
            <w:noWrap w:val="0"/>
            <w:vAlign w:val="center"/>
          </w:tcPr>
          <w:p>
            <w:pPr>
              <w:rPr>
                <w:b/>
              </w:rPr>
            </w:pPr>
            <w:r>
              <w:rPr>
                <w:rFonts w:hint="eastAsia"/>
                <w:b/>
              </w:rPr>
              <w:t>评分</w:t>
            </w:r>
          </w:p>
          <w:p>
            <w:pPr>
              <w:rPr>
                <w:b/>
              </w:rPr>
            </w:pPr>
            <w:r>
              <w:rPr>
                <w:rFonts w:hint="eastAsia"/>
                <w:b/>
              </w:rPr>
              <w:t>因素</w:t>
            </w:r>
          </w:p>
        </w:tc>
        <w:tc>
          <w:tcPr>
            <w:tcW w:w="549" w:type="dxa"/>
            <w:gridSpan w:val="2"/>
            <w:noWrap w:val="0"/>
            <w:vAlign w:val="center"/>
          </w:tcPr>
          <w:p>
            <w:pPr>
              <w:rPr>
                <w:b/>
              </w:rPr>
            </w:pPr>
            <w:r>
              <w:rPr>
                <w:rFonts w:hint="eastAsia"/>
                <w:b/>
              </w:rPr>
              <w:t>分值</w:t>
            </w:r>
          </w:p>
        </w:tc>
        <w:tc>
          <w:tcPr>
            <w:tcW w:w="1250" w:type="dxa"/>
            <w:noWrap w:val="0"/>
            <w:vAlign w:val="center"/>
          </w:tcPr>
          <w:p>
            <w:pPr>
              <w:rPr>
                <w:b/>
              </w:rPr>
            </w:pPr>
            <w:r>
              <w:rPr>
                <w:rFonts w:hint="eastAsia"/>
                <w:b/>
              </w:rPr>
              <w:t>评分内容</w:t>
            </w:r>
          </w:p>
        </w:tc>
        <w:tc>
          <w:tcPr>
            <w:tcW w:w="6116" w:type="dxa"/>
            <w:noWrap w:val="0"/>
            <w:vAlign w:val="center"/>
          </w:tcPr>
          <w:p>
            <w:pPr>
              <w:rPr>
                <w:b/>
              </w:rPr>
            </w:pPr>
            <w:r>
              <w:rPr>
                <w:rFonts w:hint="eastAsia"/>
                <w:b/>
              </w:rPr>
              <w:t>评分标准</w:t>
            </w:r>
          </w:p>
        </w:tc>
        <w:tc>
          <w:tcPr>
            <w:tcW w:w="643" w:type="dxa"/>
            <w:noWrap w:val="0"/>
            <w:vAlign w:val="center"/>
          </w:tcPr>
          <w:p>
            <w:pPr>
              <w:rPr>
                <w:b/>
              </w:rPr>
            </w:pPr>
            <w:r>
              <w:rPr>
                <w:rFonts w:hint="eastAsia"/>
                <w:b/>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635" w:type="dxa"/>
            <w:noWrap w:val="0"/>
            <w:vAlign w:val="center"/>
          </w:tcPr>
          <w:p>
            <w:pPr>
              <w:rPr>
                <w:rFonts w:hint="eastAsia" w:eastAsia="宋体"/>
                <w:b/>
                <w:lang w:eastAsia="zh-CN"/>
              </w:rPr>
            </w:pPr>
            <w:r>
              <w:rPr>
                <w:rFonts w:hint="eastAsia"/>
                <w:b/>
                <w:lang w:eastAsia="zh-CN"/>
              </w:rPr>
              <w:t>报价</w:t>
            </w:r>
          </w:p>
          <w:p>
            <w:pPr>
              <w:rPr>
                <w:b/>
              </w:rPr>
            </w:pPr>
            <w:r>
              <w:rPr>
                <w:rFonts w:hint="eastAsia"/>
                <w:b/>
              </w:rPr>
              <w:t>部分</w:t>
            </w:r>
          </w:p>
          <w:p>
            <w:pPr>
              <w:rPr>
                <w:b/>
              </w:rPr>
            </w:pPr>
            <w:r>
              <w:rPr>
                <w:rFonts w:hint="eastAsia"/>
                <w:b/>
              </w:rPr>
              <w:t>（A）</w:t>
            </w:r>
          </w:p>
        </w:tc>
        <w:tc>
          <w:tcPr>
            <w:tcW w:w="549" w:type="dxa"/>
            <w:gridSpan w:val="2"/>
            <w:noWrap w:val="0"/>
            <w:vAlign w:val="center"/>
          </w:tcPr>
          <w:p>
            <w:pPr>
              <w:rPr>
                <w:b/>
              </w:rPr>
            </w:pPr>
            <w:r>
              <w:rPr>
                <w:rFonts w:hint="eastAsia"/>
                <w:b/>
                <w:lang w:val="en-US" w:eastAsia="zh-CN"/>
              </w:rPr>
              <w:t>25</w:t>
            </w:r>
            <w:r>
              <w:rPr>
                <w:rFonts w:hint="eastAsia"/>
                <w:b/>
              </w:rPr>
              <w:t>分</w:t>
            </w:r>
          </w:p>
        </w:tc>
        <w:tc>
          <w:tcPr>
            <w:tcW w:w="1250" w:type="dxa"/>
            <w:noWrap w:val="0"/>
            <w:vAlign w:val="center"/>
          </w:tcPr>
          <w:p>
            <w:pPr>
              <w:jc w:val="left"/>
            </w:pPr>
            <w:r>
              <w:rPr>
                <w:rFonts w:hint="eastAsia"/>
              </w:rPr>
              <w:t>报价得分</w:t>
            </w:r>
          </w:p>
          <w:p>
            <w:pPr>
              <w:jc w:val="left"/>
            </w:pPr>
            <w:r>
              <w:rPr>
                <w:rFonts w:hint="eastAsia"/>
                <w:lang w:val="en-US" w:eastAsia="zh-CN"/>
              </w:rPr>
              <w:t>（25</w:t>
            </w:r>
            <w:r>
              <w:rPr>
                <w:rFonts w:hint="eastAsia"/>
              </w:rPr>
              <w:t>分）</w:t>
            </w:r>
          </w:p>
        </w:tc>
        <w:tc>
          <w:tcPr>
            <w:tcW w:w="6116" w:type="dxa"/>
            <w:noWrap w:val="0"/>
            <w:vAlign w:val="top"/>
          </w:tcPr>
          <w:p>
            <w:pPr>
              <w:rPr>
                <w:rFonts w:hint="default"/>
                <w:color w:val="000000"/>
                <w:lang w:val="en-US"/>
              </w:rPr>
            </w:pPr>
            <w:r>
              <w:rPr>
                <w:rFonts w:hint="eastAsia"/>
                <w:color w:val="000000"/>
              </w:rPr>
              <w:t>报价得分按照低价优先法计算，即满足采购招标需求且方案报价最低的投标人报价为评标基准价，其价格分为满分，其他投标单位的价格得分统一按照下列公式计算：报价得分</w:t>
            </w:r>
            <w:r>
              <w:rPr>
                <w:color w:val="000000"/>
              </w:rPr>
              <w:t>=(</w:t>
            </w:r>
            <w:r>
              <w:rPr>
                <w:rFonts w:hint="eastAsia"/>
                <w:color w:val="000000"/>
              </w:rPr>
              <w:t>评标基准价／方案报价</w:t>
            </w:r>
            <w:r>
              <w:rPr>
                <w:color w:val="000000"/>
              </w:rPr>
              <w:t>)</w:t>
            </w:r>
            <w:r>
              <w:rPr>
                <w:rFonts w:hint="eastAsia"/>
                <w:color w:val="000000"/>
              </w:rPr>
              <w:t>×</w:t>
            </w:r>
            <w:r>
              <w:rPr>
                <w:rFonts w:hint="eastAsia"/>
                <w:color w:val="000000"/>
                <w:lang w:val="en-US" w:eastAsia="zh-CN"/>
              </w:rPr>
              <w:t>25</w:t>
            </w:r>
          </w:p>
          <w:p>
            <w:pPr>
              <w:rPr>
                <w:rFonts w:hint="eastAsia"/>
                <w:color w:val="000000"/>
              </w:rPr>
            </w:pPr>
            <w:r>
              <w:rPr>
                <w:rFonts w:hint="eastAsia"/>
                <w:color w:val="000000"/>
              </w:rPr>
              <w:t>投标总价低于招标金额70%的，投标单位必须对该报价做出合理说明。</w:t>
            </w:r>
          </w:p>
        </w:tc>
        <w:tc>
          <w:tcPr>
            <w:tcW w:w="643" w:type="dxa"/>
            <w:noWrap w:val="0"/>
            <w:vAlign w:val="top"/>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635" w:type="dxa"/>
            <w:vMerge w:val="restart"/>
            <w:noWrap w:val="0"/>
            <w:vAlign w:val="center"/>
          </w:tcPr>
          <w:p>
            <w:pPr>
              <w:rPr>
                <w:b/>
              </w:rPr>
            </w:pPr>
            <w:r>
              <w:rPr>
                <w:rFonts w:hint="eastAsia"/>
                <w:b/>
              </w:rPr>
              <w:t>技术部分</w:t>
            </w:r>
          </w:p>
          <w:p>
            <w:pPr>
              <w:rPr>
                <w:b/>
              </w:rPr>
            </w:pPr>
            <w:r>
              <w:rPr>
                <w:rFonts w:hint="eastAsia"/>
                <w:b/>
              </w:rPr>
              <w:t>（B）</w:t>
            </w:r>
          </w:p>
        </w:tc>
        <w:tc>
          <w:tcPr>
            <w:tcW w:w="549" w:type="dxa"/>
            <w:gridSpan w:val="2"/>
            <w:vMerge w:val="restart"/>
            <w:noWrap w:val="0"/>
            <w:vAlign w:val="center"/>
          </w:tcPr>
          <w:p>
            <w:pPr>
              <w:rPr>
                <w:b/>
              </w:rPr>
            </w:pPr>
            <w:r>
              <w:rPr>
                <w:rFonts w:hint="eastAsia"/>
                <w:b/>
                <w:lang w:val="en-US" w:eastAsia="zh-CN"/>
              </w:rPr>
              <w:t>45</w:t>
            </w:r>
            <w:r>
              <w:rPr>
                <w:rFonts w:hint="eastAsia"/>
                <w:b/>
              </w:rPr>
              <w:t>分</w:t>
            </w:r>
          </w:p>
        </w:tc>
        <w:tc>
          <w:tcPr>
            <w:tcW w:w="1250" w:type="dxa"/>
            <w:noWrap w:val="0"/>
            <w:vAlign w:val="center"/>
          </w:tcPr>
          <w:p>
            <w:r>
              <w:rPr>
                <w:rFonts w:hint="eastAsia"/>
              </w:rPr>
              <w:t>B</w:t>
            </w:r>
            <w:r>
              <w:t>1</w:t>
            </w:r>
            <w:r>
              <w:rPr>
                <w:rFonts w:hint="eastAsia"/>
              </w:rPr>
              <w:t>、实施</w:t>
            </w:r>
            <w:r>
              <w:t>方案得分</w:t>
            </w:r>
            <w:r>
              <w:rPr>
                <w:rFonts w:hint="eastAsia"/>
              </w:rPr>
              <w:t>（</w:t>
            </w:r>
            <w:r>
              <w:rPr>
                <w:rFonts w:hint="eastAsia"/>
                <w:lang w:val="en-US" w:eastAsia="zh-CN"/>
              </w:rPr>
              <w:t>3</w:t>
            </w:r>
            <w:r>
              <w:rPr>
                <w:rFonts w:hint="eastAsia"/>
              </w:rPr>
              <w:t>0</w:t>
            </w:r>
            <w:r>
              <w:t>分</w:t>
            </w:r>
            <w:r>
              <w:rPr>
                <w:rFonts w:hint="eastAsia"/>
              </w:rPr>
              <w:t>）</w:t>
            </w:r>
          </w:p>
        </w:tc>
        <w:tc>
          <w:tcPr>
            <w:tcW w:w="6116" w:type="dxa"/>
            <w:noWrap w:val="0"/>
            <w:vAlign w:val="top"/>
          </w:tcPr>
          <w:p>
            <w:pPr>
              <w:spacing w:line="240" w:lineRule="exact"/>
              <w:jc w:val="left"/>
              <w:rPr>
                <w:rStyle w:val="6"/>
                <w:rFonts w:hint="default" w:ascii="宋体" w:hAnsi="宋体" w:eastAsia="宋体" w:cs="宋体"/>
                <w:b w:val="0"/>
                <w:color w:val="auto"/>
                <w:sz w:val="21"/>
                <w:szCs w:val="21"/>
                <w:highlight w:val="none"/>
                <w:lang w:val="en-US" w:eastAsia="zh-CN"/>
              </w:rPr>
            </w:pPr>
            <w:r>
              <w:rPr>
                <w:rStyle w:val="6"/>
                <w:rFonts w:hint="eastAsia" w:ascii="宋体" w:hAnsi="宋体" w:eastAsia="宋体" w:cs="宋体"/>
                <w:b w:val="0"/>
                <w:color w:val="auto"/>
                <w:sz w:val="21"/>
                <w:szCs w:val="21"/>
                <w:highlight w:val="none"/>
              </w:rPr>
              <w:t>在投标文件中详细说明对</w:t>
            </w:r>
            <w:r>
              <w:rPr>
                <w:rStyle w:val="6"/>
                <w:rFonts w:hint="eastAsia" w:ascii="宋体" w:hAnsi="宋体" w:cs="宋体"/>
                <w:b w:val="0"/>
                <w:color w:val="auto"/>
                <w:sz w:val="21"/>
                <w:szCs w:val="21"/>
                <w:highlight w:val="none"/>
                <w:lang w:eastAsia="zh-CN"/>
              </w:rPr>
              <w:t>本</w:t>
            </w:r>
            <w:r>
              <w:rPr>
                <w:rStyle w:val="6"/>
                <w:rFonts w:hint="eastAsia" w:ascii="宋体" w:hAnsi="宋体" w:eastAsia="宋体" w:cs="宋体"/>
                <w:b w:val="0"/>
                <w:color w:val="auto"/>
                <w:sz w:val="21"/>
                <w:szCs w:val="21"/>
                <w:highlight w:val="none"/>
                <w:lang w:eastAsia="zh-CN"/>
              </w:rPr>
              <w:t>项目</w:t>
            </w:r>
            <w:r>
              <w:rPr>
                <w:rStyle w:val="6"/>
                <w:rFonts w:hint="eastAsia" w:ascii="宋体" w:hAnsi="宋体" w:eastAsia="宋体" w:cs="宋体"/>
                <w:b w:val="0"/>
                <w:color w:val="auto"/>
                <w:sz w:val="21"/>
                <w:szCs w:val="21"/>
                <w:highlight w:val="none"/>
                <w:lang w:val="en-US" w:eastAsia="zh-CN"/>
              </w:rPr>
              <w:t>的实施方案：</w:t>
            </w:r>
          </w:p>
          <w:p>
            <w:pPr>
              <w:numPr>
                <w:ilvl w:val="0"/>
                <w:numId w:val="0"/>
              </w:numPr>
              <w:spacing w:line="240" w:lineRule="exact"/>
              <w:jc w:val="left"/>
              <w:rPr>
                <w:rStyle w:val="6"/>
                <w:rFonts w:hint="eastAsia" w:ascii="宋体" w:hAnsi="宋体" w:eastAsia="宋体" w:cs="宋体"/>
                <w:b w:val="0"/>
                <w:color w:val="auto"/>
                <w:sz w:val="21"/>
                <w:szCs w:val="21"/>
                <w:highlight w:val="none"/>
                <w:lang w:val="en-US" w:eastAsia="zh-CN"/>
              </w:rPr>
            </w:pPr>
            <w:r>
              <w:rPr>
                <w:rStyle w:val="6"/>
                <w:rFonts w:hint="eastAsia" w:ascii="宋体" w:hAnsi="宋体" w:eastAsia="宋体" w:cs="宋体"/>
                <w:b w:val="0"/>
                <w:color w:val="auto"/>
                <w:sz w:val="21"/>
                <w:szCs w:val="21"/>
                <w:highlight w:val="none"/>
                <w:lang w:val="en-US" w:eastAsia="zh-CN"/>
              </w:rPr>
              <w:t>1.实施方案很全面具体、合理性很强、可实施性很强的为优，得30分。</w:t>
            </w:r>
          </w:p>
          <w:p>
            <w:pPr>
              <w:numPr>
                <w:ilvl w:val="0"/>
                <w:numId w:val="0"/>
              </w:numPr>
              <w:spacing w:line="240" w:lineRule="exact"/>
              <w:jc w:val="left"/>
              <w:rPr>
                <w:rStyle w:val="6"/>
                <w:rFonts w:hint="eastAsia" w:ascii="宋体" w:hAnsi="宋体" w:eastAsia="宋体" w:cs="宋体"/>
                <w:b w:val="0"/>
                <w:color w:val="auto"/>
                <w:sz w:val="21"/>
                <w:szCs w:val="21"/>
                <w:highlight w:val="none"/>
                <w:lang w:val="en-US" w:eastAsia="zh-CN"/>
              </w:rPr>
            </w:pPr>
            <w:r>
              <w:rPr>
                <w:rStyle w:val="6"/>
                <w:rFonts w:hint="eastAsia" w:ascii="宋体" w:hAnsi="宋体" w:eastAsia="宋体" w:cs="宋体"/>
                <w:b w:val="0"/>
                <w:color w:val="auto"/>
                <w:sz w:val="21"/>
                <w:szCs w:val="21"/>
                <w:highlight w:val="none"/>
                <w:lang w:val="en-US" w:eastAsia="zh-CN"/>
              </w:rPr>
              <w:t>2.实施方案较全面具体、合理性较强、可实施性较强的为良，得20分。</w:t>
            </w:r>
          </w:p>
          <w:p>
            <w:pPr>
              <w:spacing w:line="240" w:lineRule="exact"/>
              <w:jc w:val="left"/>
              <w:rPr>
                <w:rStyle w:val="6"/>
                <w:rFonts w:hint="eastAsia" w:ascii="宋体" w:hAnsi="宋体" w:eastAsia="宋体" w:cs="宋体"/>
                <w:b w:val="0"/>
                <w:color w:val="auto"/>
                <w:sz w:val="21"/>
                <w:szCs w:val="21"/>
                <w:highlight w:val="none"/>
                <w:lang w:val="en-US" w:eastAsia="zh-CN"/>
              </w:rPr>
            </w:pPr>
            <w:r>
              <w:rPr>
                <w:rStyle w:val="6"/>
                <w:rFonts w:hint="eastAsia" w:ascii="宋体" w:hAnsi="宋体" w:eastAsia="宋体" w:cs="宋体"/>
                <w:b w:val="0"/>
                <w:color w:val="auto"/>
                <w:sz w:val="21"/>
                <w:szCs w:val="21"/>
                <w:highlight w:val="none"/>
                <w:lang w:val="en-US" w:eastAsia="zh-CN"/>
              </w:rPr>
              <w:t>3.实施方案全面具体性一般、合理性一般、可实施性一般的为中，得10分。</w:t>
            </w:r>
          </w:p>
          <w:p>
            <w:pPr>
              <w:rPr>
                <w:color w:val="000000"/>
              </w:rPr>
            </w:pPr>
            <w:r>
              <w:rPr>
                <w:rStyle w:val="6"/>
                <w:rFonts w:hint="eastAsia" w:ascii="宋体" w:hAnsi="宋体" w:eastAsia="宋体" w:cs="宋体"/>
                <w:b w:val="0"/>
                <w:color w:val="auto"/>
                <w:sz w:val="21"/>
                <w:szCs w:val="21"/>
                <w:highlight w:val="none"/>
                <w:lang w:val="en-US" w:eastAsia="zh-CN"/>
              </w:rPr>
              <w:t>4.服务方案不全面、不具体、合理性差、可实施性差的得5分，未提供的得0分。</w:t>
            </w:r>
          </w:p>
        </w:tc>
        <w:tc>
          <w:tcPr>
            <w:tcW w:w="643" w:type="dxa"/>
            <w:noWrap w:val="0"/>
            <w:vAlign w:val="top"/>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635" w:type="dxa"/>
            <w:vMerge w:val="continue"/>
            <w:noWrap w:val="0"/>
            <w:vAlign w:val="center"/>
          </w:tcPr>
          <w:p>
            <w:pPr>
              <w:rPr>
                <w:rFonts w:hint="eastAsia"/>
                <w:b/>
              </w:rPr>
            </w:pPr>
          </w:p>
        </w:tc>
        <w:tc>
          <w:tcPr>
            <w:tcW w:w="549" w:type="dxa"/>
            <w:gridSpan w:val="2"/>
            <w:vMerge w:val="continue"/>
            <w:noWrap w:val="0"/>
            <w:vAlign w:val="center"/>
          </w:tcPr>
          <w:p>
            <w:pPr>
              <w:rPr>
                <w:rFonts w:hint="eastAsia"/>
                <w:b/>
              </w:rPr>
            </w:pPr>
          </w:p>
        </w:tc>
        <w:tc>
          <w:tcPr>
            <w:tcW w:w="1250" w:type="dxa"/>
            <w:noWrap w:val="0"/>
            <w:vAlign w:val="center"/>
          </w:tcPr>
          <w:p>
            <w:pPr>
              <w:rPr>
                <w:rFonts w:hint="eastAsia"/>
              </w:rPr>
            </w:pPr>
            <w:r>
              <w:rPr>
                <w:rFonts w:hint="eastAsia"/>
              </w:rPr>
              <w:t>B2、项目重难点问题的分析与解决（10分）</w:t>
            </w:r>
          </w:p>
        </w:tc>
        <w:tc>
          <w:tcPr>
            <w:tcW w:w="6116" w:type="dxa"/>
            <w:noWrap w:val="0"/>
            <w:vAlign w:val="top"/>
          </w:tcPr>
          <w:p>
            <w:pPr>
              <w:rPr>
                <w:rFonts w:hint="eastAsia"/>
                <w:color w:val="000000"/>
              </w:rPr>
            </w:pPr>
            <w:r>
              <w:rPr>
                <w:rFonts w:hint="eastAsia"/>
                <w:color w:val="000000"/>
              </w:rPr>
              <w:t>对项目的重难点认识准确，提出方案明确合理的得10分；对项目的重难点认识较为准确，提出方案较为明确合理的得7分； 对项目的重难点认识情况一般，提出方案基本合理的得5分；对项目的重难点认识较差，提出方案难以执行的不得分。</w:t>
            </w:r>
          </w:p>
        </w:tc>
        <w:tc>
          <w:tcPr>
            <w:tcW w:w="643" w:type="dxa"/>
            <w:noWrap w:val="0"/>
            <w:vAlign w:val="top"/>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635" w:type="dxa"/>
            <w:vMerge w:val="continue"/>
            <w:noWrap w:val="0"/>
            <w:vAlign w:val="center"/>
          </w:tcPr>
          <w:p>
            <w:pPr>
              <w:rPr>
                <w:b/>
              </w:rPr>
            </w:pPr>
          </w:p>
        </w:tc>
        <w:tc>
          <w:tcPr>
            <w:tcW w:w="549" w:type="dxa"/>
            <w:gridSpan w:val="2"/>
            <w:vMerge w:val="continue"/>
            <w:noWrap w:val="0"/>
            <w:vAlign w:val="center"/>
          </w:tcPr>
          <w:p>
            <w:pPr>
              <w:rPr>
                <w:b/>
              </w:rPr>
            </w:pPr>
          </w:p>
        </w:tc>
        <w:tc>
          <w:tcPr>
            <w:tcW w:w="1250" w:type="dxa"/>
            <w:noWrap w:val="0"/>
            <w:vAlign w:val="center"/>
          </w:tcPr>
          <w:p>
            <w:r>
              <w:rPr>
                <w:rFonts w:hint="eastAsia"/>
              </w:rPr>
              <w:t>B3、</w:t>
            </w:r>
            <w:r>
              <w:t>团队</w:t>
            </w:r>
            <w:r>
              <w:rPr>
                <w:rFonts w:hint="eastAsia"/>
              </w:rPr>
              <w:t>能</w:t>
            </w:r>
            <w:r>
              <w:t>力得分</w:t>
            </w:r>
            <w:r>
              <w:rPr>
                <w:rFonts w:hint="eastAsia"/>
              </w:rPr>
              <w:t>（</w:t>
            </w:r>
            <w:r>
              <w:rPr>
                <w:rFonts w:hint="eastAsia"/>
                <w:lang w:val="en-US" w:eastAsia="zh-CN"/>
              </w:rPr>
              <w:t>5</w:t>
            </w:r>
            <w:r>
              <w:t>分</w:t>
            </w:r>
            <w:r>
              <w:rPr>
                <w:rFonts w:hint="eastAsia"/>
              </w:rPr>
              <w:t>）</w:t>
            </w:r>
          </w:p>
        </w:tc>
        <w:tc>
          <w:tcPr>
            <w:tcW w:w="6116" w:type="dxa"/>
            <w:noWrap w:val="0"/>
            <w:vAlign w:val="top"/>
          </w:tcPr>
          <w:p>
            <w:pPr>
              <w:rPr>
                <w:color w:val="000000"/>
              </w:rPr>
            </w:pPr>
            <w:r>
              <w:rPr>
                <w:rFonts w:hint="eastAsia"/>
                <w:color w:val="000000"/>
              </w:rPr>
              <w:t>拟投入本项目人员的经验、实力的证明（报价文件须附本项目人员的毕业证书和学位证书及签署的劳动合同关键页，加盖单位公章）</w:t>
            </w:r>
          </w:p>
          <w:p>
            <w:pPr>
              <w:numPr>
                <w:ilvl w:val="0"/>
                <w:numId w:val="0"/>
              </w:numPr>
              <w:rPr>
                <w:rFonts w:hint="eastAsia"/>
                <w:color w:val="000000"/>
              </w:rPr>
            </w:pPr>
            <w:r>
              <w:rPr>
                <w:rFonts w:hint="eastAsia"/>
                <w:color w:val="000000"/>
                <w:lang w:val="en-US" w:eastAsia="zh-CN"/>
              </w:rPr>
              <w:t>1</w:t>
            </w:r>
            <w:r>
              <w:rPr>
                <w:rStyle w:val="6"/>
                <w:rFonts w:hint="eastAsia" w:ascii="宋体" w:hAnsi="宋体" w:eastAsia="宋体" w:cs="宋体"/>
                <w:b w:val="0"/>
                <w:color w:val="auto"/>
                <w:sz w:val="21"/>
                <w:szCs w:val="21"/>
                <w:highlight w:val="none"/>
                <w:lang w:val="en-US" w:eastAsia="zh-CN"/>
              </w:rPr>
              <w:t>.</w:t>
            </w:r>
            <w:r>
              <w:rPr>
                <w:rFonts w:hint="eastAsia"/>
                <w:color w:val="000000"/>
              </w:rPr>
              <w:t>须提供所有项目人员在投标单位签订的劳务合同关键页，并加盖单位公章。如不能提供，则不计入本项目人员数量。</w:t>
            </w:r>
          </w:p>
          <w:p>
            <w:pPr>
              <w:numPr>
                <w:ilvl w:val="0"/>
                <w:numId w:val="0"/>
              </w:numPr>
              <w:rPr>
                <w:color w:val="000000"/>
              </w:rPr>
            </w:pPr>
            <w:r>
              <w:rPr>
                <w:rFonts w:hint="eastAsia"/>
                <w:color w:val="000000"/>
                <w:lang w:val="en-US" w:eastAsia="zh-CN"/>
              </w:rPr>
              <w:t>2</w:t>
            </w:r>
            <w:r>
              <w:rPr>
                <w:rStyle w:val="6"/>
                <w:rFonts w:hint="eastAsia" w:ascii="宋体" w:hAnsi="宋体" w:eastAsia="宋体" w:cs="宋体"/>
                <w:b w:val="0"/>
                <w:color w:val="auto"/>
                <w:sz w:val="21"/>
                <w:szCs w:val="21"/>
                <w:highlight w:val="none"/>
                <w:lang w:val="en-US" w:eastAsia="zh-CN"/>
              </w:rPr>
              <w:t>.</w:t>
            </w:r>
            <w:r>
              <w:rPr>
                <w:rFonts w:hint="eastAsia"/>
                <w:color w:val="000000"/>
              </w:rPr>
              <w:t>投入本项目人员数量</w:t>
            </w:r>
            <w:r>
              <w:rPr>
                <w:rFonts w:hint="eastAsia"/>
                <w:color w:val="000000"/>
                <w:lang w:val="en-US" w:eastAsia="zh-CN"/>
              </w:rPr>
              <w:t>5</w:t>
            </w:r>
            <w:r>
              <w:rPr>
                <w:rFonts w:hint="eastAsia"/>
                <w:color w:val="000000"/>
              </w:rPr>
              <w:t>人或以上得5分，3-</w:t>
            </w:r>
            <w:r>
              <w:rPr>
                <w:rFonts w:hint="eastAsia"/>
                <w:color w:val="000000"/>
                <w:lang w:val="en-US" w:eastAsia="zh-CN"/>
              </w:rPr>
              <w:t>4</w:t>
            </w:r>
            <w:r>
              <w:rPr>
                <w:rFonts w:hint="eastAsia"/>
                <w:color w:val="000000"/>
              </w:rPr>
              <w:t>人得3分，1-2人得1分。</w:t>
            </w:r>
          </w:p>
        </w:tc>
        <w:tc>
          <w:tcPr>
            <w:tcW w:w="643" w:type="dxa"/>
            <w:noWrap w:val="0"/>
            <w:vAlign w:val="top"/>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35" w:type="dxa"/>
            <w:vMerge w:val="continue"/>
            <w:noWrap w:val="0"/>
            <w:vAlign w:val="center"/>
          </w:tcPr>
          <w:p>
            <w:pPr>
              <w:rPr>
                <w:b/>
              </w:rPr>
            </w:pPr>
          </w:p>
        </w:tc>
        <w:tc>
          <w:tcPr>
            <w:tcW w:w="7915" w:type="dxa"/>
            <w:gridSpan w:val="4"/>
            <w:noWrap w:val="0"/>
            <w:vAlign w:val="top"/>
          </w:tcPr>
          <w:p>
            <w:pPr>
              <w:rPr>
                <w:color w:val="000000"/>
              </w:rPr>
            </w:pPr>
            <w:r>
              <w:rPr>
                <w:rFonts w:hint="eastAsia"/>
                <w:color w:val="000000"/>
              </w:rPr>
              <w:t>技术部分得分（B）=B</w:t>
            </w:r>
            <w:r>
              <w:rPr>
                <w:color w:val="000000"/>
              </w:rPr>
              <w:t>1+B2</w:t>
            </w:r>
            <w:r>
              <w:rPr>
                <w:rFonts w:hint="eastAsia"/>
                <w:color w:val="000000"/>
              </w:rPr>
              <w:t>+B3</w:t>
            </w:r>
          </w:p>
        </w:tc>
        <w:tc>
          <w:tcPr>
            <w:tcW w:w="643" w:type="dxa"/>
            <w:noWrap w:val="0"/>
            <w:vAlign w:val="top"/>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35" w:type="dxa"/>
            <w:vMerge w:val="restart"/>
            <w:noWrap w:val="0"/>
            <w:vAlign w:val="center"/>
          </w:tcPr>
          <w:p>
            <w:pPr>
              <w:rPr>
                <w:b/>
              </w:rPr>
            </w:pPr>
            <w:r>
              <w:rPr>
                <w:rFonts w:hint="eastAsia"/>
                <w:b/>
              </w:rPr>
              <w:t>商务部分（C）</w:t>
            </w:r>
          </w:p>
        </w:tc>
        <w:tc>
          <w:tcPr>
            <w:tcW w:w="548" w:type="dxa"/>
            <w:vMerge w:val="restart"/>
            <w:noWrap w:val="0"/>
            <w:vAlign w:val="center"/>
          </w:tcPr>
          <w:p>
            <w:pPr>
              <w:rPr>
                <w:b/>
              </w:rPr>
            </w:pPr>
            <w:r>
              <w:rPr>
                <w:rFonts w:hint="eastAsia"/>
                <w:b/>
              </w:rPr>
              <w:t>2</w:t>
            </w:r>
            <w:r>
              <w:rPr>
                <w:rFonts w:hint="eastAsia"/>
                <w:b/>
                <w:lang w:val="en-US" w:eastAsia="zh-CN"/>
              </w:rPr>
              <w:t>5</w:t>
            </w:r>
            <w:r>
              <w:rPr>
                <w:rFonts w:hint="eastAsia"/>
                <w:b/>
              </w:rPr>
              <w:t>分</w:t>
            </w:r>
          </w:p>
        </w:tc>
        <w:tc>
          <w:tcPr>
            <w:tcW w:w="1251" w:type="dxa"/>
            <w:gridSpan w:val="2"/>
            <w:noWrap w:val="0"/>
            <w:vAlign w:val="center"/>
          </w:tcPr>
          <w:p>
            <w:r>
              <w:t>C1</w:t>
            </w:r>
            <w:r>
              <w:rPr>
                <w:rFonts w:hint="eastAsia"/>
              </w:rPr>
              <w:t>、同类项目业绩得分</w:t>
            </w:r>
          </w:p>
          <w:p>
            <w:r>
              <w:rPr>
                <w:rFonts w:hint="eastAsia"/>
              </w:rPr>
              <w:t>（</w:t>
            </w:r>
            <w:r>
              <w:rPr>
                <w:rFonts w:hint="eastAsia"/>
                <w:lang w:val="en-US" w:eastAsia="zh-CN"/>
              </w:rPr>
              <w:t>10</w:t>
            </w:r>
            <w:r>
              <w:rPr>
                <w:rFonts w:hint="eastAsia"/>
              </w:rPr>
              <w:t>分）</w:t>
            </w:r>
          </w:p>
        </w:tc>
        <w:tc>
          <w:tcPr>
            <w:tcW w:w="6116" w:type="dxa"/>
            <w:noWrap w:val="0"/>
            <w:vAlign w:val="top"/>
          </w:tcPr>
          <w:p>
            <w:pPr>
              <w:rPr>
                <w:color w:val="000000"/>
              </w:rPr>
            </w:pPr>
            <w:r>
              <w:rPr>
                <w:rFonts w:hint="eastAsia"/>
                <w:color w:val="000000"/>
              </w:rPr>
              <w:t>近三年内，</w:t>
            </w:r>
            <w:r>
              <w:rPr>
                <w:rFonts w:hint="eastAsia" w:cs="Times New Roman" w:asciiTheme="minorEastAsia" w:hAnsiTheme="minorEastAsia" w:eastAsiaTheme="minorEastAsia"/>
                <w:b w:val="0"/>
                <w:bCs w:val="0"/>
                <w:snapToGrid w:val="0"/>
                <w:kern w:val="0"/>
                <w:sz w:val="21"/>
                <w:szCs w:val="21"/>
                <w:lang w:val="en-US" w:eastAsia="zh-CN" w:bidi="ar-SA"/>
              </w:rPr>
              <w:t>投标人提供2个同类业绩的证明资料得10分（提供合同加盖投标法人公章）</w:t>
            </w:r>
            <w:r>
              <w:rPr>
                <w:rFonts w:hint="eastAsia"/>
                <w:color w:val="000000"/>
              </w:rPr>
              <w:t>。</w:t>
            </w:r>
            <w:r>
              <w:rPr>
                <w:rFonts w:hint="eastAsia" w:cs="Times New Roman" w:asciiTheme="minorEastAsia" w:hAnsiTheme="minorEastAsia" w:eastAsiaTheme="minorEastAsia"/>
                <w:b w:val="0"/>
                <w:bCs w:val="0"/>
                <w:snapToGrid w:val="0"/>
                <w:kern w:val="0"/>
                <w:sz w:val="21"/>
                <w:szCs w:val="21"/>
                <w:lang w:val="en-US" w:eastAsia="zh-CN" w:bidi="ar-SA"/>
              </w:rPr>
              <w:t>投标人提供1个同类业绩的证明资料得5分（提供合同加盖投标法人公章）</w:t>
            </w:r>
            <w:r>
              <w:rPr>
                <w:rFonts w:hint="eastAsia"/>
                <w:color w:val="000000"/>
              </w:rPr>
              <w:t>未承办过项目得0分。</w:t>
            </w:r>
          </w:p>
        </w:tc>
        <w:tc>
          <w:tcPr>
            <w:tcW w:w="643" w:type="dxa"/>
            <w:noWrap w:val="0"/>
            <w:vAlign w:val="top"/>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635" w:type="dxa"/>
            <w:vMerge w:val="continue"/>
            <w:noWrap w:val="0"/>
            <w:vAlign w:val="center"/>
          </w:tcPr>
          <w:p>
            <w:pPr>
              <w:rPr>
                <w:b/>
              </w:rPr>
            </w:pPr>
          </w:p>
        </w:tc>
        <w:tc>
          <w:tcPr>
            <w:tcW w:w="548" w:type="dxa"/>
            <w:vMerge w:val="continue"/>
            <w:noWrap w:val="0"/>
            <w:vAlign w:val="center"/>
          </w:tcPr>
          <w:p>
            <w:pPr>
              <w:rPr>
                <w:b/>
              </w:rPr>
            </w:pPr>
          </w:p>
        </w:tc>
        <w:tc>
          <w:tcPr>
            <w:tcW w:w="1251" w:type="dxa"/>
            <w:gridSpan w:val="2"/>
            <w:noWrap w:val="0"/>
            <w:vAlign w:val="center"/>
          </w:tcPr>
          <w:p>
            <w:pPr>
              <w:rPr>
                <w:rFonts w:hint="eastAsia"/>
              </w:rPr>
            </w:pPr>
            <w:r>
              <w:rPr>
                <w:rFonts w:hint="eastAsia"/>
              </w:rPr>
              <w:t>C2、</w:t>
            </w:r>
            <w:r>
              <w:rPr>
                <w:rFonts w:hint="eastAsia" w:ascii="宋体" w:hAnsi="宋体" w:eastAsia="宋体" w:cs="宋体"/>
                <w:sz w:val="21"/>
                <w:szCs w:val="21"/>
              </w:rPr>
              <w:t>质量保障措施</w:t>
            </w:r>
            <w:r>
              <w:rPr>
                <w:rFonts w:hint="eastAsia"/>
              </w:rPr>
              <w:t>（5分）</w:t>
            </w:r>
          </w:p>
        </w:tc>
        <w:tc>
          <w:tcPr>
            <w:tcW w:w="6116" w:type="dxa"/>
            <w:noWrap w:val="0"/>
            <w:vAlign w:val="top"/>
          </w:tcPr>
          <w:p>
            <w:pPr>
              <w:spacing w:line="240" w:lineRule="exact"/>
              <w:jc w:val="left"/>
              <w:rPr>
                <w:rStyle w:val="6"/>
                <w:rFonts w:hint="eastAsia" w:ascii="宋体" w:hAnsi="宋体" w:eastAsia="宋体" w:cs="宋体"/>
                <w:b w:val="0"/>
                <w:color w:val="auto"/>
                <w:sz w:val="21"/>
                <w:szCs w:val="21"/>
                <w:highlight w:val="none"/>
                <w:lang w:val="en-US" w:eastAsia="zh-CN"/>
              </w:rPr>
            </w:pPr>
            <w:r>
              <w:rPr>
                <w:rStyle w:val="6"/>
                <w:rFonts w:hint="eastAsia" w:ascii="宋体" w:hAnsi="宋体" w:eastAsia="宋体" w:cs="宋体"/>
                <w:b w:val="0"/>
                <w:color w:val="auto"/>
                <w:sz w:val="21"/>
                <w:szCs w:val="21"/>
                <w:highlight w:val="none"/>
                <w:lang w:val="en-US" w:eastAsia="zh-CN"/>
              </w:rPr>
              <w:t>针对本项目提出详细并完善的服务质量保障措施。</w:t>
            </w:r>
          </w:p>
          <w:p>
            <w:pPr>
              <w:spacing w:line="240" w:lineRule="exact"/>
              <w:jc w:val="left"/>
              <w:rPr>
                <w:rStyle w:val="6"/>
                <w:rFonts w:hint="eastAsia" w:ascii="宋体" w:hAnsi="宋体" w:eastAsia="宋体" w:cs="宋体"/>
                <w:b w:val="0"/>
                <w:color w:val="auto"/>
                <w:sz w:val="21"/>
                <w:szCs w:val="21"/>
                <w:highlight w:val="none"/>
                <w:lang w:val="en-US" w:eastAsia="zh-CN"/>
              </w:rPr>
            </w:pPr>
            <w:r>
              <w:rPr>
                <w:rStyle w:val="6"/>
                <w:rFonts w:hint="eastAsia" w:ascii="宋体" w:hAnsi="宋体" w:eastAsia="宋体" w:cs="宋体"/>
                <w:b w:val="0"/>
                <w:color w:val="auto"/>
                <w:sz w:val="21"/>
                <w:szCs w:val="21"/>
                <w:highlight w:val="none"/>
                <w:lang w:val="en-US" w:eastAsia="zh-CN"/>
              </w:rPr>
              <w:t>1.全面具体、合理性很强、可实施性很强的为优，得5分。</w:t>
            </w:r>
          </w:p>
          <w:p>
            <w:pPr>
              <w:spacing w:line="240" w:lineRule="exact"/>
              <w:jc w:val="left"/>
              <w:rPr>
                <w:rStyle w:val="6"/>
                <w:rFonts w:hint="eastAsia" w:ascii="宋体" w:hAnsi="宋体" w:eastAsia="宋体" w:cs="宋体"/>
                <w:b w:val="0"/>
                <w:color w:val="auto"/>
                <w:sz w:val="21"/>
                <w:szCs w:val="21"/>
                <w:highlight w:val="none"/>
                <w:lang w:val="en-US" w:eastAsia="zh-CN"/>
              </w:rPr>
            </w:pPr>
            <w:r>
              <w:rPr>
                <w:rStyle w:val="6"/>
                <w:rFonts w:hint="eastAsia" w:ascii="宋体" w:hAnsi="宋体" w:eastAsia="宋体" w:cs="宋体"/>
                <w:b w:val="0"/>
                <w:color w:val="auto"/>
                <w:sz w:val="21"/>
                <w:szCs w:val="21"/>
                <w:highlight w:val="none"/>
                <w:lang w:val="en-US" w:eastAsia="zh-CN"/>
              </w:rPr>
              <w:t>2.较全面具体、合理性较强、可实施性较强的为良，得4分。</w:t>
            </w:r>
          </w:p>
          <w:p>
            <w:pPr>
              <w:spacing w:line="240" w:lineRule="exact"/>
              <w:jc w:val="left"/>
              <w:rPr>
                <w:rStyle w:val="6"/>
                <w:rFonts w:hint="eastAsia" w:ascii="宋体" w:hAnsi="宋体" w:eastAsia="宋体" w:cs="宋体"/>
                <w:b w:val="0"/>
                <w:color w:val="auto"/>
                <w:sz w:val="21"/>
                <w:szCs w:val="21"/>
                <w:highlight w:val="none"/>
                <w:lang w:val="en-US" w:eastAsia="zh-CN"/>
              </w:rPr>
            </w:pPr>
            <w:r>
              <w:rPr>
                <w:rStyle w:val="6"/>
                <w:rFonts w:hint="eastAsia" w:ascii="宋体" w:hAnsi="宋体" w:eastAsia="宋体" w:cs="宋体"/>
                <w:b w:val="0"/>
                <w:color w:val="auto"/>
                <w:sz w:val="21"/>
                <w:szCs w:val="21"/>
                <w:highlight w:val="none"/>
                <w:lang w:val="en-US" w:eastAsia="zh-CN"/>
              </w:rPr>
              <w:t>3.全面具体性一般、合理性一般、可实施性一般的为中，得3分。</w:t>
            </w:r>
          </w:p>
          <w:p>
            <w:pPr>
              <w:rPr>
                <w:rFonts w:hint="eastAsia"/>
                <w:color w:val="000000"/>
              </w:rPr>
            </w:pPr>
            <w:r>
              <w:rPr>
                <w:rStyle w:val="6"/>
                <w:rFonts w:hint="eastAsia" w:ascii="宋体" w:hAnsi="宋体" w:eastAsia="宋体" w:cs="宋体"/>
                <w:b w:val="0"/>
                <w:color w:val="auto"/>
                <w:sz w:val="21"/>
                <w:szCs w:val="21"/>
                <w:highlight w:val="none"/>
                <w:lang w:val="en-US" w:eastAsia="zh-CN"/>
              </w:rPr>
              <w:t>4.不全面、不具体、合理性差、可实施性差的得1分，未提供的得0分。</w:t>
            </w:r>
          </w:p>
        </w:tc>
        <w:tc>
          <w:tcPr>
            <w:tcW w:w="643" w:type="dxa"/>
            <w:noWrap w:val="0"/>
            <w:vAlign w:val="top"/>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35" w:type="dxa"/>
            <w:vMerge w:val="continue"/>
            <w:noWrap w:val="0"/>
            <w:vAlign w:val="center"/>
          </w:tcPr>
          <w:p>
            <w:pPr>
              <w:rPr>
                <w:b/>
              </w:rPr>
            </w:pPr>
          </w:p>
        </w:tc>
        <w:tc>
          <w:tcPr>
            <w:tcW w:w="548" w:type="dxa"/>
            <w:vMerge w:val="continue"/>
            <w:noWrap w:val="0"/>
            <w:vAlign w:val="center"/>
          </w:tcPr>
          <w:p>
            <w:pPr>
              <w:rPr>
                <w:b/>
              </w:rPr>
            </w:pPr>
          </w:p>
        </w:tc>
        <w:tc>
          <w:tcPr>
            <w:tcW w:w="1251" w:type="dxa"/>
            <w:gridSpan w:val="2"/>
            <w:noWrap w:val="0"/>
            <w:vAlign w:val="center"/>
          </w:tcPr>
          <w:p>
            <w:r>
              <w:rPr>
                <w:rFonts w:hint="eastAsia"/>
              </w:rPr>
              <w:t>C3、</w:t>
            </w:r>
            <w:r>
              <w:rPr>
                <w:rFonts w:hint="eastAsia"/>
                <w:lang w:eastAsia="zh-CN"/>
              </w:rPr>
              <w:t>售后、服务</w:t>
            </w:r>
            <w:r>
              <w:rPr>
                <w:rFonts w:hint="eastAsia"/>
              </w:rPr>
              <w:t>（5分）</w:t>
            </w:r>
          </w:p>
        </w:tc>
        <w:tc>
          <w:tcPr>
            <w:tcW w:w="6116" w:type="dxa"/>
            <w:noWrap w:val="0"/>
            <w:vAlign w:val="top"/>
          </w:tcPr>
          <w:p>
            <w:pPr>
              <w:rPr>
                <w:rFonts w:hint="eastAsia"/>
                <w:color w:val="000000"/>
              </w:rPr>
            </w:pPr>
            <w:r>
              <w:rPr>
                <w:rFonts w:hint="eastAsia" w:ascii="宋体" w:hAnsi="宋体" w:eastAsia="宋体" w:cs="宋体"/>
                <w:color w:val="auto"/>
                <w:sz w:val="21"/>
                <w:szCs w:val="21"/>
                <w:highlight w:val="none"/>
              </w:rPr>
              <w:t>投标人在深圳设有固定服务人员</w:t>
            </w:r>
            <w:r>
              <w:rPr>
                <w:rFonts w:hint="eastAsia" w:ascii="宋体" w:hAnsi="宋体" w:eastAsia="宋体" w:cs="宋体"/>
                <w:color w:val="auto"/>
                <w:sz w:val="21"/>
                <w:szCs w:val="21"/>
                <w:highlight w:val="none"/>
                <w:lang w:val="zh-CN"/>
              </w:rPr>
              <w:t>得</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分，没有不得分</w:t>
            </w:r>
            <w:r>
              <w:rPr>
                <w:rFonts w:hint="eastAsia" w:ascii="宋体" w:hAnsi="宋体" w:eastAsia="宋体" w:cs="宋体"/>
                <w:color w:val="auto"/>
                <w:sz w:val="21"/>
                <w:szCs w:val="21"/>
                <w:highlight w:val="none"/>
              </w:rPr>
              <w:t>（提供证明资料并加盖投标人公章）</w:t>
            </w:r>
          </w:p>
        </w:tc>
        <w:tc>
          <w:tcPr>
            <w:tcW w:w="643" w:type="dxa"/>
            <w:noWrap w:val="0"/>
            <w:vAlign w:val="top"/>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35" w:type="dxa"/>
            <w:vMerge w:val="continue"/>
            <w:noWrap w:val="0"/>
            <w:vAlign w:val="center"/>
          </w:tcPr>
          <w:p>
            <w:pPr>
              <w:rPr>
                <w:b/>
              </w:rPr>
            </w:pPr>
          </w:p>
        </w:tc>
        <w:tc>
          <w:tcPr>
            <w:tcW w:w="548" w:type="dxa"/>
            <w:vMerge w:val="continue"/>
            <w:noWrap w:val="0"/>
            <w:vAlign w:val="center"/>
          </w:tcPr>
          <w:p>
            <w:pPr>
              <w:rPr>
                <w:b/>
              </w:rPr>
            </w:pPr>
          </w:p>
        </w:tc>
        <w:tc>
          <w:tcPr>
            <w:tcW w:w="1251" w:type="dxa"/>
            <w:gridSpan w:val="2"/>
            <w:noWrap w:val="0"/>
            <w:vAlign w:val="center"/>
          </w:tcPr>
          <w:p/>
          <w:p>
            <w:r>
              <w:t>C</w:t>
            </w:r>
            <w:r>
              <w:rPr>
                <w:rFonts w:hint="eastAsia"/>
              </w:rPr>
              <w:t>4、诚信情况得分（5分）</w:t>
            </w:r>
          </w:p>
        </w:tc>
        <w:tc>
          <w:tcPr>
            <w:tcW w:w="6116" w:type="dxa"/>
            <w:noWrap w:val="0"/>
            <w:vAlign w:val="top"/>
          </w:tcPr>
          <w:p>
            <w:pPr>
              <w:rPr>
                <w:color w:val="000000"/>
              </w:rPr>
            </w:pPr>
            <w:r>
              <w:rPr>
                <w:rFonts w:hint="eastAsia"/>
                <w:color w:val="000000"/>
              </w:rPr>
              <w:t>根据《深圳市政府采购投标人诚信管理暂行办法》相关规定，投标人在参与政府采购活动中出现诚信相关问题且在相关主管部门处理措施实施期限内的本项不得分，否则得满分。（须提供《诚信承诺函》，按招标文件格式要求提供，不提供不得分。如被认定提供的陈述与事实不符的，依法追究其责任。）</w:t>
            </w:r>
          </w:p>
        </w:tc>
        <w:tc>
          <w:tcPr>
            <w:tcW w:w="643" w:type="dxa"/>
            <w:noWrap w:val="0"/>
            <w:vAlign w:val="top"/>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35" w:type="dxa"/>
            <w:vMerge w:val="continue"/>
            <w:noWrap w:val="0"/>
            <w:vAlign w:val="center"/>
          </w:tcPr>
          <w:p>
            <w:pPr>
              <w:rPr>
                <w:b/>
              </w:rPr>
            </w:pPr>
          </w:p>
        </w:tc>
        <w:tc>
          <w:tcPr>
            <w:tcW w:w="548" w:type="dxa"/>
            <w:vMerge w:val="continue"/>
            <w:noWrap w:val="0"/>
            <w:vAlign w:val="center"/>
          </w:tcPr>
          <w:p>
            <w:pPr>
              <w:rPr>
                <w:b/>
              </w:rPr>
            </w:pPr>
          </w:p>
        </w:tc>
        <w:tc>
          <w:tcPr>
            <w:tcW w:w="7367" w:type="dxa"/>
            <w:gridSpan w:val="3"/>
            <w:noWrap w:val="0"/>
            <w:vAlign w:val="center"/>
          </w:tcPr>
          <w:p>
            <w:r>
              <w:rPr>
                <w:rFonts w:hint="eastAsia"/>
              </w:rPr>
              <w:t>商务部分得分（</w:t>
            </w:r>
            <w:r>
              <w:t>C</w:t>
            </w:r>
            <w:r>
              <w:rPr>
                <w:rFonts w:hint="eastAsia"/>
              </w:rPr>
              <w:t>）=</w:t>
            </w:r>
            <w:r>
              <w:t>C1</w:t>
            </w:r>
            <w:r>
              <w:rPr>
                <w:rFonts w:hint="eastAsia"/>
              </w:rPr>
              <w:t>+</w:t>
            </w:r>
            <w:r>
              <w:t>C</w:t>
            </w:r>
            <w:r>
              <w:rPr>
                <w:rFonts w:hint="eastAsia"/>
              </w:rPr>
              <w:t>2+</w:t>
            </w:r>
            <w:r>
              <w:t>C</w:t>
            </w:r>
            <w:r>
              <w:rPr>
                <w:rFonts w:hint="eastAsia"/>
              </w:rPr>
              <w:t>3+C4</w:t>
            </w:r>
          </w:p>
        </w:tc>
        <w:tc>
          <w:tcPr>
            <w:tcW w:w="643"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635" w:type="dxa"/>
            <w:noWrap w:val="0"/>
            <w:vAlign w:val="center"/>
          </w:tcPr>
          <w:p>
            <w:pPr>
              <w:rPr>
                <w:rFonts w:hint="eastAsia"/>
                <w:b/>
              </w:rPr>
            </w:pPr>
            <w:r>
              <w:rPr>
                <w:rFonts w:hint="eastAsia"/>
                <w:b/>
              </w:rPr>
              <w:t>疫情防 控</w:t>
            </w:r>
          </w:p>
          <w:p>
            <w:pPr>
              <w:rPr>
                <w:b/>
              </w:rPr>
            </w:pPr>
            <w:r>
              <w:rPr>
                <w:rFonts w:hint="eastAsia"/>
                <w:b/>
              </w:rPr>
              <w:t>（D）</w:t>
            </w:r>
          </w:p>
        </w:tc>
        <w:tc>
          <w:tcPr>
            <w:tcW w:w="548" w:type="dxa"/>
            <w:noWrap w:val="0"/>
            <w:vAlign w:val="center"/>
          </w:tcPr>
          <w:p>
            <w:pPr>
              <w:rPr>
                <w:b/>
              </w:rPr>
            </w:pPr>
            <w:r>
              <w:rPr>
                <w:rFonts w:hint="eastAsia"/>
                <w:b/>
              </w:rPr>
              <w:t>5分</w:t>
            </w:r>
          </w:p>
        </w:tc>
        <w:tc>
          <w:tcPr>
            <w:tcW w:w="1251" w:type="dxa"/>
            <w:gridSpan w:val="2"/>
            <w:noWrap w:val="0"/>
            <w:vAlign w:val="center"/>
          </w:tcPr>
          <w:p>
            <w:pPr>
              <w:rPr>
                <w:rFonts w:hint="eastAsia"/>
              </w:rPr>
            </w:pPr>
            <w:r>
              <w:rPr>
                <w:rFonts w:hint="eastAsia"/>
              </w:rPr>
              <w:t>疫情防控</w:t>
            </w:r>
          </w:p>
          <w:p>
            <w:pPr>
              <w:rPr>
                <w:rFonts w:hint="eastAsia"/>
              </w:rPr>
            </w:pPr>
            <w:r>
              <w:rPr>
                <w:rFonts w:hint="eastAsia"/>
              </w:rPr>
              <w:t>（5分）</w:t>
            </w:r>
          </w:p>
        </w:tc>
        <w:tc>
          <w:tcPr>
            <w:tcW w:w="6116" w:type="dxa"/>
            <w:noWrap w:val="0"/>
            <w:vAlign w:val="center"/>
          </w:tcPr>
          <w:p>
            <w:pPr>
              <w:rPr>
                <w:rFonts w:hint="eastAsia"/>
              </w:rPr>
            </w:pPr>
            <w:r>
              <w:rPr>
                <w:rFonts w:hint="eastAsia"/>
              </w:rPr>
              <w:t>疫情防控重点企业此评分项中满分为3分，稳岗企业此评分项中满分为2分。具体按以下方式评分：1.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2.未裁员或裁员率低于20%的企业，即投标前一个月实际参加社会保险（至少包括养老保险）的员工人数（含免缴或延期缴纳社会保险人数）不低于2019年12月同口径人数80%（含）的企业，视为稳岗企业，提供自身符合稳岗企业条件的承诺函即可获得评审得分，同时招标文件中应当注明：投标人提供虚假承诺的，将做无效投标处理，涉嫌存在违法违规行为的，依法报主管部门处理处罚。</w:t>
            </w:r>
          </w:p>
        </w:tc>
        <w:tc>
          <w:tcPr>
            <w:tcW w:w="643"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550" w:type="dxa"/>
            <w:gridSpan w:val="5"/>
            <w:noWrap w:val="0"/>
            <w:vAlign w:val="center"/>
          </w:tcPr>
          <w:p>
            <w:pPr>
              <w:rPr>
                <w:b/>
              </w:rPr>
            </w:pPr>
            <w:r>
              <w:rPr>
                <w:rFonts w:hint="eastAsia"/>
                <w:b/>
              </w:rPr>
              <w:t>评标总得分 Z = A + B + C+ D</w:t>
            </w:r>
          </w:p>
        </w:tc>
        <w:tc>
          <w:tcPr>
            <w:tcW w:w="643" w:type="dxa"/>
            <w:noWrap w:val="0"/>
            <w:vAlign w:val="center"/>
          </w:tcPr>
          <w:p>
            <w:pPr>
              <w:rPr>
                <w:b/>
              </w:rPr>
            </w:pPr>
          </w:p>
        </w:tc>
      </w:tr>
    </w:tbl>
    <w:p>
      <w:pPr>
        <w:snapToGrid/>
        <w:spacing w:line="360" w:lineRule="auto"/>
        <w:ind w:firstLine="0" w:firstLineChars="0"/>
        <w:rPr>
          <w:rFonts w:hint="eastAsia"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rPr>
        <w:t>说明：</w:t>
      </w:r>
    </w:p>
    <w:p>
      <w:pPr>
        <w:snapToGrid w:val="0"/>
        <w:spacing w:line="360" w:lineRule="auto"/>
        <w:ind w:firstLine="640" w:firstLineChars="200"/>
        <w:rPr>
          <w:rFonts w:hint="eastAsia"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rPr>
        <w:t>（</w:t>
      </w:r>
      <w:r>
        <w:rPr>
          <w:rFonts w:hint="eastAsia" w:ascii="仿宋_GB2312" w:hAnsi="仿宋_GB2312" w:eastAsia="仿宋_GB2312" w:cs="仿宋_GB2312"/>
          <w:color w:val="000000"/>
          <w:sz w:val="32"/>
          <w:szCs w:val="32"/>
          <w:highlight w:val="none"/>
          <w:shd w:val="clear" w:color="auto" w:fill="FFFFFF"/>
          <w:lang w:val="en-US" w:eastAsia="zh-CN"/>
        </w:rPr>
        <w:t>一</w:t>
      </w:r>
      <w:r>
        <w:rPr>
          <w:rFonts w:hint="eastAsia" w:ascii="仿宋_GB2312" w:hAnsi="仿宋_GB2312" w:eastAsia="仿宋_GB2312" w:cs="仿宋_GB2312"/>
          <w:color w:val="000000"/>
          <w:sz w:val="32"/>
          <w:szCs w:val="32"/>
          <w:highlight w:val="none"/>
          <w:shd w:val="clear" w:color="auto" w:fill="FFFFFF"/>
        </w:rPr>
        <w:t>）综合评分法中的价格分采用低价优先法计算,即满足招标文件要求且投标价格最低的投标报价为评标基准价,其价格分为满分。其他投标人的价格分统一按照下列公式计算：投标报价得分=(评标基准价/投标报价)×权重。</w:t>
      </w:r>
    </w:p>
    <w:p>
      <w:pPr>
        <w:spacing w:line="360" w:lineRule="auto"/>
        <w:ind w:firstLine="640" w:firstLineChars="200"/>
        <w:rPr>
          <w:rFonts w:hint="eastAsia"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rPr>
        <w:t>（</w:t>
      </w:r>
      <w:r>
        <w:rPr>
          <w:rFonts w:hint="eastAsia" w:ascii="仿宋_GB2312" w:hAnsi="仿宋_GB2312" w:eastAsia="仿宋_GB2312" w:cs="仿宋_GB2312"/>
          <w:color w:val="000000"/>
          <w:sz w:val="32"/>
          <w:szCs w:val="32"/>
          <w:highlight w:val="none"/>
          <w:shd w:val="clear" w:color="auto" w:fill="FFFFFF"/>
          <w:lang w:val="en-US" w:eastAsia="zh-CN"/>
        </w:rPr>
        <w:t>二</w:t>
      </w:r>
      <w:r>
        <w:rPr>
          <w:rFonts w:hint="eastAsia" w:ascii="仿宋_GB2312" w:hAnsi="仿宋_GB2312" w:eastAsia="仿宋_GB2312" w:cs="仿宋_GB2312"/>
          <w:color w:val="000000"/>
          <w:sz w:val="32"/>
          <w:szCs w:val="32"/>
          <w:highlight w:val="none"/>
          <w:shd w:val="clear" w:color="auto" w:fill="FFFFFF"/>
        </w:rPr>
        <w:t>）</w:t>
      </w:r>
      <w:r>
        <w:rPr>
          <w:rFonts w:hint="eastAsia" w:ascii="仿宋_GB2312" w:hAnsi="仿宋_GB2312" w:eastAsia="仿宋_GB2312" w:cs="仿宋_GB2312"/>
          <w:color w:val="000000"/>
          <w:sz w:val="32"/>
          <w:szCs w:val="32"/>
          <w:shd w:val="clear" w:color="auto" w:fill="FFFFFF"/>
        </w:rPr>
        <w:t>评标小组</w:t>
      </w:r>
      <w:r>
        <w:rPr>
          <w:rFonts w:hint="eastAsia" w:ascii="仿宋_GB2312" w:hAnsi="仿宋_GB2312" w:eastAsia="仿宋_GB2312" w:cs="仿宋_GB2312"/>
          <w:color w:val="000000"/>
          <w:sz w:val="32"/>
          <w:szCs w:val="32"/>
          <w:highlight w:val="none"/>
          <w:shd w:val="clear" w:color="auto" w:fill="FFFFFF"/>
        </w:rPr>
        <w:t>认为投标人的报价明显低于其他通过符合性审查投标人的报价</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rPr>
        <w:t>低于招标金额70%</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rPr>
        <w:t>，有可能影响服务质量或不能诚信履约的，将会要求该投标人在合理的时间内提供书面说明，必要时提交相关证明材料。投标人不能证明其报价合理性的，</w:t>
      </w:r>
      <w:r>
        <w:rPr>
          <w:rFonts w:hint="eastAsia" w:ascii="仿宋_GB2312" w:hAnsi="仿宋_GB2312" w:eastAsia="仿宋_GB2312" w:cs="仿宋_GB2312"/>
          <w:color w:val="000000"/>
          <w:sz w:val="32"/>
          <w:szCs w:val="32"/>
          <w:shd w:val="clear" w:color="auto" w:fill="FFFFFF"/>
        </w:rPr>
        <w:t>评标小组</w:t>
      </w:r>
      <w:r>
        <w:rPr>
          <w:rFonts w:hint="eastAsia" w:ascii="仿宋_GB2312" w:hAnsi="仿宋_GB2312" w:eastAsia="仿宋_GB2312" w:cs="仿宋_GB2312"/>
          <w:color w:val="000000"/>
          <w:sz w:val="32"/>
          <w:szCs w:val="32"/>
          <w:highlight w:val="none"/>
          <w:shd w:val="clear" w:color="auto" w:fill="FFFFFF"/>
        </w:rPr>
        <w:t>应将其作为无效投标处理。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1F5265"/>
    <w:rsid w:val="14D810C4"/>
    <w:rsid w:val="3B54793F"/>
    <w:rsid w:val="401F5265"/>
    <w:rsid w:val="46A86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link w:val="6"/>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before="100" w:beforeAutospacing="1" w:after="120"/>
    </w:pPr>
  </w:style>
  <w:style w:type="character" w:customStyle="1" w:styleId="6">
    <w:name w:val="标题 1 Char2"/>
    <w:link w:val="3"/>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2020-11-15T09:02:00Z</dcterms:created>
  <dc:creator>陆春丰</dc:creator>
  <cp:lastModifiedBy>Darcya</cp:lastModifiedBy>
  <dcterms:modified xsi:type="dcterms:W3CDTF">2020-11-27T14:12:46Z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