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ind w:firstLine="480" w:firstLineChars="200"/>
        <w:rPr>
          <w:rFonts w:hint="eastAsia" w:ascii="宋体" w:hAnsi="宋体"/>
          <w:sz w:val="24"/>
          <w:szCs w:val="24"/>
        </w:rPr>
      </w:pPr>
      <w:r>
        <w:rPr>
          <w:rFonts w:hint="eastAsia" w:ascii="宋体" w:hAnsi="宋体"/>
          <w:sz w:val="24"/>
          <w:szCs w:val="24"/>
        </w:rPr>
        <w:t>附录二</w:t>
      </w:r>
    </w:p>
    <w:p>
      <w:pPr>
        <w:spacing w:line="0" w:lineRule="atLeast"/>
        <w:jc w:val="center"/>
        <w:rPr>
          <w:rFonts w:hint="eastAsia" w:ascii="宋体" w:hAnsi="宋体"/>
          <w:sz w:val="36"/>
          <w:szCs w:val="36"/>
        </w:rPr>
      </w:pPr>
      <w:bookmarkStart w:id="0" w:name="_GoBack"/>
      <w:r>
        <w:rPr>
          <w:rFonts w:hint="eastAsia" w:ascii="宋体" w:hAnsi="宋体"/>
          <w:sz w:val="36"/>
          <w:szCs w:val="36"/>
        </w:rPr>
        <w:t>深圳市菜篮子基地监测工作实施方案</w:t>
      </w:r>
    </w:p>
    <w:bookmarkEnd w:id="0"/>
    <w:p>
      <w:pPr>
        <w:spacing w:before="120" w:beforeLines="50" w:line="410" w:lineRule="atLeast"/>
        <w:ind w:firstLine="480" w:firstLineChars="200"/>
        <w:rPr>
          <w:rFonts w:hint="eastAsia" w:ascii="宋体" w:hAnsi="宋体"/>
          <w:sz w:val="24"/>
          <w:szCs w:val="24"/>
        </w:rPr>
      </w:pPr>
      <w:r>
        <w:rPr>
          <w:rFonts w:hint="eastAsia" w:ascii="宋体" w:hAnsi="宋体"/>
          <w:sz w:val="24"/>
          <w:szCs w:val="24"/>
        </w:rPr>
        <w:t>为了加强深圳市菜篮子基地建设管理，建立健全动态监测管理机制，充分发挥市菜篮子基地稳定市场供应和保障质量安全的重要作用，根据《深圳市菜篮子基地认定、监测与考评管理办法》（以下简称《办法》）有关规定，深圳市市场监督管理局组织或委托第三方服务机构开展市菜篮子基地年度监测工作。</w:t>
      </w:r>
    </w:p>
    <w:p>
      <w:pPr>
        <w:spacing w:line="410" w:lineRule="atLeast"/>
        <w:ind w:firstLine="480" w:firstLineChars="200"/>
        <w:rPr>
          <w:rFonts w:hint="eastAsia" w:ascii="黑体" w:hAnsi="宋体" w:eastAsia="黑体"/>
          <w:sz w:val="24"/>
          <w:szCs w:val="24"/>
        </w:rPr>
      </w:pPr>
      <w:r>
        <w:rPr>
          <w:rFonts w:hint="eastAsia" w:ascii="黑体" w:hAnsi="宋体" w:eastAsia="黑体"/>
          <w:sz w:val="24"/>
          <w:szCs w:val="24"/>
        </w:rPr>
        <w:t>一、监测周期</w:t>
      </w:r>
    </w:p>
    <w:p>
      <w:pPr>
        <w:spacing w:line="410" w:lineRule="atLeast"/>
        <w:ind w:firstLine="480" w:firstLineChars="200"/>
        <w:rPr>
          <w:rFonts w:hint="eastAsia" w:ascii="宋体" w:hAnsi="宋体"/>
          <w:sz w:val="24"/>
          <w:szCs w:val="24"/>
        </w:rPr>
      </w:pPr>
      <w:r>
        <w:rPr>
          <w:rFonts w:hint="eastAsia" w:ascii="宋体" w:hAnsi="宋体"/>
          <w:sz w:val="24"/>
          <w:szCs w:val="24"/>
        </w:rPr>
        <w:t>动态监测以年度为周期。</w:t>
      </w:r>
    </w:p>
    <w:p>
      <w:pPr>
        <w:spacing w:line="410" w:lineRule="atLeast"/>
        <w:ind w:firstLine="480" w:firstLineChars="200"/>
        <w:rPr>
          <w:rFonts w:hint="eastAsia" w:ascii="黑体" w:hAnsi="宋体" w:eastAsia="黑体"/>
          <w:sz w:val="24"/>
          <w:szCs w:val="24"/>
        </w:rPr>
      </w:pPr>
      <w:r>
        <w:rPr>
          <w:rFonts w:hint="eastAsia" w:ascii="黑体" w:hAnsi="宋体" w:eastAsia="黑体"/>
          <w:sz w:val="24"/>
          <w:szCs w:val="24"/>
        </w:rPr>
        <w:t>二、监测对象</w:t>
      </w:r>
    </w:p>
    <w:p>
      <w:pPr>
        <w:spacing w:line="410" w:lineRule="atLeast"/>
        <w:ind w:firstLine="480" w:firstLineChars="200"/>
        <w:rPr>
          <w:rFonts w:hint="eastAsia" w:ascii="宋体" w:hAnsi="宋体"/>
          <w:sz w:val="24"/>
          <w:szCs w:val="24"/>
        </w:rPr>
      </w:pPr>
      <w:r>
        <w:rPr>
          <w:rFonts w:hint="eastAsia" w:ascii="宋体" w:hAnsi="宋体"/>
          <w:sz w:val="24"/>
          <w:szCs w:val="24"/>
        </w:rPr>
        <w:t>除当年度新认定的基地外，其他已认定基地均纳入年度监测对象名单。</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三、监测方式及内容</w:t>
      </w:r>
    </w:p>
    <w:p>
      <w:pPr>
        <w:spacing w:line="396" w:lineRule="atLeast"/>
        <w:ind w:firstLine="480" w:firstLineChars="200"/>
        <w:rPr>
          <w:rFonts w:hint="eastAsia" w:ascii="宋体" w:hAnsi="宋体"/>
          <w:sz w:val="24"/>
          <w:szCs w:val="24"/>
        </w:rPr>
      </w:pPr>
      <w:r>
        <w:rPr>
          <w:rFonts w:hint="eastAsia" w:ascii="宋体" w:hAnsi="宋体"/>
          <w:sz w:val="24"/>
          <w:szCs w:val="24"/>
        </w:rPr>
        <w:t>对监测对象采取定期统计、情况调查、实地考察、随机抽查等方式实行跟踪管理，及时对市菜篮子基地生产、经营管理和产品质量安全状况进行监测。监测内容及方式主要包括：</w:t>
      </w:r>
    </w:p>
    <w:p>
      <w:pPr>
        <w:spacing w:line="396" w:lineRule="atLeast"/>
        <w:ind w:firstLine="480" w:firstLineChars="200"/>
        <w:rPr>
          <w:rFonts w:hint="eastAsia" w:ascii="宋体" w:hAnsi="宋体"/>
          <w:sz w:val="24"/>
          <w:szCs w:val="24"/>
        </w:rPr>
      </w:pPr>
      <w:r>
        <w:rPr>
          <w:rFonts w:hint="eastAsia" w:ascii="宋体" w:hAnsi="宋体"/>
          <w:sz w:val="24"/>
          <w:szCs w:val="24"/>
        </w:rPr>
        <w:t>（一）日常监测。核实基地的组织管理、质量安全、环境条件、基础设施、产品贮运等方面是否持续符合《办法》中规定的市菜篮子基地认定条件的要求。对监测中发现不符合项的，基地应于1个月内完成整改并提交整改报告。因自然灾害等不可抗力因素造成的基础设施损坏，可视情况适当延长整改期限，整改期限最长不得超过2个月。</w:t>
      </w:r>
    </w:p>
    <w:p>
      <w:pPr>
        <w:spacing w:line="396" w:lineRule="atLeast"/>
        <w:ind w:firstLine="480" w:firstLineChars="200"/>
        <w:rPr>
          <w:rFonts w:hint="eastAsia" w:ascii="宋体" w:hAnsi="宋体"/>
          <w:sz w:val="24"/>
          <w:szCs w:val="24"/>
        </w:rPr>
      </w:pPr>
      <w:r>
        <w:rPr>
          <w:rFonts w:hint="eastAsia" w:ascii="宋体" w:hAnsi="宋体"/>
          <w:sz w:val="24"/>
          <w:szCs w:val="24"/>
        </w:rPr>
        <w:t>（二）基地环境及产品抽样检验。委托有资质的第三方检验机构对基地生产环境和主营产品进行抽样检验。样品总数不少于2个。基地生产环境包括基地的水质、土壤等。主营产品为供深最多的前5种产品。检验结果不合格的，监测机构应及时告知被抽检基地并督促其进行整改。基地对检验结果有异议的，可按有关规定申请复检。</w:t>
      </w:r>
    </w:p>
    <w:p>
      <w:pPr>
        <w:spacing w:line="396" w:lineRule="atLeast"/>
        <w:ind w:firstLine="480" w:firstLineChars="200"/>
        <w:rPr>
          <w:rFonts w:hint="eastAsia" w:ascii="宋体" w:hAnsi="宋体"/>
          <w:sz w:val="24"/>
          <w:szCs w:val="24"/>
        </w:rPr>
      </w:pPr>
      <w:r>
        <w:rPr>
          <w:rFonts w:hint="eastAsia" w:ascii="宋体" w:hAnsi="宋体"/>
          <w:sz w:val="24"/>
          <w:szCs w:val="24"/>
        </w:rPr>
        <w:t>（三）技术服务。针对监测发现的问题，现场提出整改建议，督促基地落实整改，并对整改情况进行验收。开展基地标准化生产、可追溯体系建设及农产品质量安全管理等方面的技术指导工作。</w:t>
      </w:r>
    </w:p>
    <w:p>
      <w:pPr>
        <w:spacing w:line="396" w:lineRule="atLeast"/>
        <w:ind w:firstLine="480" w:firstLineChars="200"/>
        <w:rPr>
          <w:rFonts w:hint="eastAsia" w:ascii="宋体" w:hAnsi="宋体"/>
          <w:sz w:val="24"/>
          <w:szCs w:val="24"/>
        </w:rPr>
      </w:pPr>
      <w:r>
        <w:rPr>
          <w:rFonts w:hint="eastAsia" w:ascii="宋体" w:hAnsi="宋体"/>
          <w:sz w:val="24"/>
          <w:szCs w:val="24"/>
        </w:rPr>
        <w:t>（四）档案管理。建立市菜篮子基地监测档案，档案内容包括基地名单、基地面积、位置、品种、产量、供应本市市场数量、质量抽检等基本情况。</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四、数据收集及情况上报</w:t>
      </w:r>
    </w:p>
    <w:p>
      <w:pPr>
        <w:spacing w:line="396" w:lineRule="atLeast"/>
        <w:ind w:firstLine="480" w:firstLineChars="200"/>
        <w:rPr>
          <w:rFonts w:hint="eastAsia" w:ascii="宋体" w:hAnsi="宋体"/>
          <w:sz w:val="24"/>
          <w:szCs w:val="24"/>
        </w:rPr>
      </w:pPr>
      <w:r>
        <w:rPr>
          <w:rFonts w:hint="eastAsia" w:ascii="宋体" w:hAnsi="宋体"/>
          <w:sz w:val="24"/>
          <w:szCs w:val="24"/>
        </w:rPr>
        <w:t>第三方服务机构每季度收集各基地提交的监测情况以及不符合项整改报告，汇总后向市市场监管局上报监测工作进度及基地情况。年度监测任务完成后，提交市菜篮子基地年度监测报告。</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五、结果处理</w:t>
      </w:r>
    </w:p>
    <w:p>
      <w:pPr>
        <w:spacing w:line="396" w:lineRule="atLeast"/>
        <w:ind w:firstLine="480" w:firstLineChars="200"/>
        <w:rPr>
          <w:rFonts w:hint="eastAsia" w:ascii="宋体" w:hAnsi="宋体"/>
          <w:sz w:val="24"/>
          <w:szCs w:val="24"/>
        </w:rPr>
      </w:pPr>
      <w:r>
        <w:rPr>
          <w:rFonts w:hint="eastAsia" w:ascii="宋体" w:hAnsi="宋体"/>
          <w:sz w:val="24"/>
          <w:szCs w:val="24"/>
        </w:rPr>
        <w:t>监测实行量化评分制，得分60分以上（含本数）为合格。监测结果合格的，继续保有市菜篮子基地资格。监测结果不合格的，撤销市菜篮子基地资格，交回标志牌，基地产品包装、标签、广告宣传等不得继续使用“深圳市菜篮子基地”标志、标识或字样。市市场监管局每年在门户网站上公布本年度监测结果。</w:t>
      </w:r>
    </w:p>
    <w:p>
      <w:pPr>
        <w:spacing w:line="396" w:lineRule="atLeast"/>
        <w:ind w:firstLine="480" w:firstLineChars="200"/>
        <w:rPr>
          <w:rFonts w:ascii="宋体" w:hAnsi="宋体"/>
          <w:sz w:val="24"/>
          <w:szCs w:val="24"/>
        </w:rPr>
      </w:pPr>
    </w:p>
    <w:p>
      <w:pPr>
        <w:spacing w:line="396" w:lineRule="atLeast"/>
        <w:ind w:firstLine="480" w:firstLineChars="200"/>
        <w:rPr>
          <w:rFonts w:hint="eastAsia" w:ascii="宋体" w:hAnsi="宋体"/>
          <w:sz w:val="24"/>
          <w:szCs w:val="24"/>
        </w:rPr>
      </w:pPr>
      <w:r>
        <w:rPr>
          <w:rFonts w:hint="eastAsia" w:ascii="宋体" w:hAnsi="宋体"/>
          <w:sz w:val="24"/>
          <w:szCs w:val="24"/>
        </w:rPr>
        <w:t>附件：深圳市菜篮子基地监测评分表（略）</w:t>
      </w:r>
    </w:p>
    <w:p>
      <w:pPr>
        <w:spacing w:line="360" w:lineRule="atLeast"/>
        <w:ind w:firstLine="480" w:firstLineChars="200"/>
        <w:rPr>
          <w:rFonts w:hint="eastAsia" w:ascii="宋体" w:hAnsi="宋体"/>
          <w:sz w:val="24"/>
          <w:szCs w:val="24"/>
        </w:rPr>
      </w:pPr>
    </w:p>
    <w:p>
      <w:pPr>
        <w:spacing w:line="410" w:lineRule="atLeast"/>
        <w:ind w:firstLine="472" w:firstLineChars="200"/>
        <w:rPr>
          <w:rFonts w:hint="eastAsia" w:ascii="楷体_GB2312" w:hAnsi="宋体" w:eastAsia="楷体_GB2312"/>
          <w:spacing w:val="-20"/>
          <w:sz w:val="24"/>
          <w:szCs w:val="24"/>
        </w:rPr>
      </w:pPr>
      <w:r>
        <w:rPr>
          <w:rFonts w:ascii="Times New Roman" w:hAnsi="Times New Roman" w:eastAsia="楷体_GB2312"/>
          <w:spacing w:val="-2"/>
          <w:sz w:val="24"/>
          <w:szCs w:val="24"/>
        </w:rPr>
        <w:t>附件文本请链接：http://amr.sz.gov.cn/xxgk/qt/tzgg/content/post_8236757.html查</w:t>
      </w:r>
      <w:r>
        <w:rPr>
          <w:rFonts w:ascii="Times New Roman" w:hAnsi="Times New Roman" w:eastAsia="楷体_GB2312"/>
          <w:sz w:val="24"/>
          <w:szCs w:val="24"/>
        </w:rPr>
        <w:t>询</w:t>
      </w:r>
      <w:r>
        <w:rPr>
          <w:rFonts w:ascii="Times New Roman" w:hAnsi="Times New Roman" w:eastAsia="楷体_GB2312"/>
          <w:spacing w:val="-2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C30EE"/>
    <w:rsid w:val="0E5A0064"/>
    <w:rsid w:val="5DD27C2A"/>
    <w:rsid w:val="6CBC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2020-11-24T02:46:00Z</dcterms:created>
  <dc:creator>Jus</dc:creator>
  <cp:lastModifiedBy>Jus</cp:lastModifiedBy>
  <dcterms:modified xsi:type="dcterms:W3CDTF">2020-11-24T02:47:07Z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