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一、不合格项目小知识</w:t>
      </w:r>
    </w:p>
    <w:p>
      <w:pPr>
        <w:spacing w:line="560" w:lineRule="exact"/>
        <w:ind w:firstLine="482" w:firstLineChars="15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</w:p>
    <w:p>
      <w:pPr>
        <w:spacing w:line="560" w:lineRule="exact"/>
        <w:ind w:firstLine="640" w:firstLineChars="200"/>
        <w:rPr>
          <w:rFonts w:ascii="仿宋_GB2312" w:hAnsi="楷体" w:eastAsia="仿宋_GB2312" w:cs="Arial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菌落总数是指示性微生物指标，并非致病菌指标，主要用来评价食品清洁度，反映食品在生产过程中是否符合卫生要求，一定程度上标志着食品卫生质量的优劣。</w:t>
      </w:r>
      <w:r>
        <w:rPr>
          <w:rFonts w:hint="eastAsia" w:ascii="仿宋_GB2312" w:hAnsi="仿宋" w:eastAsia="仿宋_GB2312" w:cs="仿宋"/>
          <w:sz w:val="32"/>
          <w:szCs w:val="32"/>
        </w:rPr>
        <w:t>《广东省食品安全地方标准 非预包装即食食品微生物限量》（DBS 44/006-2016）中规定，菌落总数＜10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CFU/g</w:t>
      </w:r>
      <w:r>
        <w:rPr>
          <w:rFonts w:hint="eastAsia" w:ascii="仿宋_GB2312" w:hAnsi="仿宋" w:eastAsia="仿宋_GB2312" w:cs="仿宋"/>
          <w:sz w:val="32"/>
          <w:szCs w:val="32"/>
        </w:rPr>
        <w:t>为满意，10</w:t>
      </w:r>
      <w:r>
        <w:rPr>
          <w:rFonts w:hint="eastAsia" w:ascii="仿宋_GB2312" w:hAnsi="仿宋" w:eastAsia="仿宋_GB2312" w:cs="仿宋"/>
          <w:sz w:val="32"/>
          <w:szCs w:val="32"/>
          <w:vertAlign w:val="superscript"/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eastAsia" w:ascii="仿宋_GB2312" w:hAnsi="仿宋" w:eastAsia="仿宋_GB2312" w:cs="仿宋"/>
          <w:sz w:val="32"/>
          <w:szCs w:val="32"/>
        </w:rPr>
        <w:t>＜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CFU/g为可接受，≥10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CFU/g为不合格。食品的菌落总数超标，说明其产品的卫生状况达不到基本的卫生要求，将会破坏食品的营养成分，加速食品的腐败变质，使食品失去食用价值。消费者食用</w:t>
      </w:r>
      <w:r>
        <w:rPr>
          <w:rFonts w:hint="eastAsia" w:ascii="仿宋_GB2312" w:hAnsi="仿宋" w:eastAsia="仿宋_GB2312"/>
          <w:sz w:val="32"/>
          <w:szCs w:val="32"/>
        </w:rPr>
        <w:t>菌落总数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超标严重的食品，容易患痢疾等肠道疾病，会引起呕吐、腹泻等症状。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（二）4-氯苯氧乙酸钠</w:t>
      </w:r>
    </w:p>
    <w:p>
      <w:pPr>
        <w:spacing w:line="560" w:lineRule="exact"/>
        <w:ind w:firstLine="640" w:firstLineChars="200"/>
        <w:rPr>
          <w:rFonts w:ascii="仿宋_GB2312" w:hAnsi="仿宋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4-氯苯氧乙酸钠是一种植物生长调节剂，可以促进植物体内的生物合成和生物转移，不仅可防止落花落果、提高做果率、增进果实生长速度、促进提前成熟，还能达到改善植物品质的目的，同时它还有除草剂的作用。但由于其对人体有一定积累毒性，国家已取消其作为食品添加剂的生产许可申请。</w:t>
      </w:r>
      <w:r>
        <w:rPr>
          <w:rFonts w:hint="eastAsia" w:ascii="仿宋_GB2312" w:hAnsi="仿宋" w:eastAsia="仿宋_GB2312"/>
          <w:sz w:val="32"/>
          <w:szCs w:val="32"/>
        </w:rPr>
        <w:t>《关于豆芽生产过程中禁止使用 6-苄基腺嘌呤 等物质的公告》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CN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国家食品药品监督管理总局、农业部、国家卫生和计划生育委员会公告 2015 年第 11 号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CN"/>
        </w:rPr>
        <w:t>)</w:t>
      </w:r>
      <w:r>
        <w:rPr>
          <w:rFonts w:hint="eastAsia" w:ascii="仿宋_GB2312" w:hAnsi="仿宋" w:eastAsia="仿宋_GB2312" w:cs="宋体"/>
          <w:sz w:val="32"/>
          <w:szCs w:val="32"/>
        </w:rPr>
        <w:t>中要求，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豆芽中不得检出4-氯苯氧乙酸。豆芽作为一种食用量非常大的蔬菜，4-氯苯氧乙酸钠的残留在人体内的累积所产生的有害作用不容忽视。</w:t>
      </w:r>
    </w:p>
    <w:p>
      <w:pPr>
        <w:widowControl/>
        <w:shd w:val="clear" w:color="auto" w:fill="FEFEFE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（三）阿维菌素</w:t>
      </w:r>
    </w:p>
    <w:p>
      <w:pPr>
        <w:widowControl/>
        <w:shd w:val="clear" w:color="auto" w:fill="FEFEFE"/>
        <w:spacing w:line="560" w:lineRule="exact"/>
        <w:rPr>
          <w:rFonts w:ascii="仿宋_GB2312" w:hAnsi="仿宋" w:eastAsia="仿宋_GB2312" w:cs="Arial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spacing w:val="23"/>
          <w:kern w:val="0"/>
          <w:szCs w:val="21"/>
        </w:rPr>
        <w:t xml:space="preserve">     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阿维菌素是一种抗生素类杀虫、杀螨、杀线虫剂，具有广谱、高效、低残留等特点。《食品安全国家标准 食品中农药最大残留限量》（GB 2763—2019）中规定，阿维菌素在油麦菜中的最大残留限量均为0.05mg/kg。少量的农药残留不会引起人体急性中毒，但长期食用农药残留超标的食品，对人体健康有一定影响。</w:t>
      </w:r>
    </w:p>
    <w:p>
      <w:pPr>
        <w:spacing w:line="560" w:lineRule="exact"/>
        <w:ind w:firstLine="643" w:firstLineChars="200"/>
        <w:rPr>
          <w:rFonts w:ascii="楷体" w:hAnsi="楷体" w:eastAsia="楷体" w:cs="Arial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_GB2312"/>
          <w:b/>
          <w:color w:val="000000"/>
          <w:sz w:val="32"/>
          <w:szCs w:val="32"/>
        </w:rPr>
        <w:t>（四）</w:t>
      </w:r>
      <w:r>
        <w:rPr>
          <w:rFonts w:hint="eastAsia" w:ascii="楷体" w:hAnsi="楷体" w:eastAsia="楷体" w:cs="Arial"/>
          <w:b/>
          <w:sz w:val="32"/>
          <w:szCs w:val="32"/>
          <w:shd w:val="clear" w:color="auto" w:fill="FFFFFF"/>
        </w:rPr>
        <w:t>恩诺沙星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恩诺沙星为广谱杀菌药，对支原体有特效，对大肠杆菌、克雷白杆菌、沙门氏菌、变形杆菌、绿脓杆菌、嗜血杆菌、多杀性巴氏杆菌、溶血性巴氏杆菌、金葡菌、链球菌等都有杀菌效果。《动物性食品中兽药最高残留限量》（农业部公告第235号）中规定，恩诺沙星可用于猪、牛、羊、兔、禽、鱼等食用畜禽、水产动物，其中水产品中恩诺沙星（以恩诺沙星和环丙沙星之和计）应≤100(μg/kg)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zh-CN"/>
        </w:rPr>
        <w:t>老年人、儿童及低免疫力人群摄入较多</w:t>
      </w:r>
      <w:r>
        <w:rPr>
          <w:rFonts w:hint="eastAsia" w:ascii="仿宋_GB2312" w:hAnsi="仿宋" w:eastAsia="仿宋_GB2312"/>
          <w:sz w:val="32"/>
          <w:szCs w:val="32"/>
        </w:rPr>
        <w:t>恩诺沙星不合格的产品，可引起轻度胃肠道不适、头痛、头晕等症状，并产生耐药性。</w:t>
      </w:r>
    </w:p>
    <w:p>
      <w:pPr>
        <w:spacing w:line="560" w:lineRule="exact"/>
        <w:ind w:firstLine="643" w:firstLineChars="200"/>
        <w:rPr>
          <w:rFonts w:ascii="楷体" w:hAnsi="楷体" w:eastAsia="楷体" w:cs="Arial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Arial"/>
          <w:b/>
          <w:sz w:val="32"/>
          <w:szCs w:val="32"/>
          <w:shd w:val="clear" w:color="auto" w:fill="FFFFFF"/>
        </w:rPr>
        <w:t>（五）氟苯尼考</w:t>
      </w:r>
    </w:p>
    <w:p>
      <w:pPr>
        <w:spacing w:line="560" w:lineRule="exact"/>
        <w:ind w:firstLine="640" w:firstLineChars="200"/>
        <w:rPr>
          <w:rFonts w:ascii="仿宋_GB2312" w:hAnsi="仿宋" w:eastAsia="仿宋_GB2312" w:cs="Arial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氟苯尼考又称氟甲砜霉素，是农业部批准使用的动物专用抗菌药，主要用于敏感细菌所致的猪、鸡、鱼的细菌性疾病。《动物性食品中兽药最高残留限量》（农业部公告第235号）</w:t>
      </w:r>
      <w:r>
        <w:rPr>
          <w:rFonts w:hint="eastAsia" w:ascii="仿宋_GB2312" w:hAnsi="仿宋" w:eastAsia="仿宋_GB2312"/>
          <w:sz w:val="32"/>
          <w:szCs w:val="32"/>
        </w:rPr>
        <w:t>中</w:t>
      </w:r>
      <w:r>
        <w:rPr>
          <w:rFonts w:hint="eastAsia" w:ascii="仿宋_GB2312" w:hAnsi="仿宋" w:eastAsia="仿宋_GB2312" w:cs="仿宋"/>
          <w:sz w:val="32"/>
          <w:szCs w:val="32"/>
        </w:rPr>
        <w:t>规定，氟苯尼考可用于猪、牛、羊、禽、鱼等，在产蛋家禽中禁用（鸡蛋、鹅蛋中不得检出）。正常情况下消费者不必对鸡蛋、鹅蛋中检出氟苯尼考过于担心，但长期食用氟苯尼考残留超标的蛋品，对人体健康有一定风险。</w:t>
      </w:r>
    </w:p>
    <w:p>
      <w:pPr>
        <w:spacing w:line="560" w:lineRule="exact"/>
        <w:ind w:firstLine="643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（六）极性组分</w:t>
      </w:r>
    </w:p>
    <w:p>
      <w:pPr>
        <w:shd w:val="clear" w:color="auto" w:fill="FDFDFD"/>
        <w:spacing w:line="560" w:lineRule="exact"/>
        <w:ind w:left="105" w:leftChars="50"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DFDFD"/>
        </w:rPr>
        <w:t>食用植物油经高温加热和反复使用后可发生—系列化学反应。在营养价值下降的同时还会产生某些毒性物质，如丙烯酰胺、多环芳烃、醛基和羰基物质等，这些物质的增加，可使油的物理极性增加，由此又将这些物质称为极性物质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油的不饱和程度越高、油温越高、反复煎炸的次数越多、极性物质产生和增加的也就越多。《食品安全国家标准 植物油》（GB 2716-2018）中规定，植物油的极性组分应≤27 %。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植物油中</w:t>
      </w:r>
      <w:r>
        <w:rPr>
          <w:rFonts w:hint="eastAsia" w:ascii="仿宋_GB2312" w:hAnsi="仿宋" w:eastAsia="仿宋_GB2312" w:cs="Tahoma"/>
          <w:sz w:val="32"/>
          <w:szCs w:val="32"/>
          <w:shd w:val="clear" w:color="auto" w:fill="FFFFFF"/>
        </w:rPr>
        <w:t>极性组分超标不仅影响油脂本身的品质和风味，有的还对人体健康有害，如使动物生长停滞、肝脏肿大、肝功能发生障碍等。</w:t>
      </w:r>
    </w:p>
    <w:p>
      <w:pPr>
        <w:spacing w:line="560" w:lineRule="exact"/>
        <w:ind w:firstLine="643" w:firstLineChars="200"/>
        <w:rPr>
          <w:rFonts w:ascii="楷体" w:hAnsi="楷体" w:eastAsia="楷体" w:cs="仿宋_GB2312"/>
          <w:b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（七）甲拌磷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甲拌磷为一种高毒的内吸性杀虫剂、杀螨剂，具有触杀、胃毒、熏蒸作用，持效期较长等特点。《食品安全国家标准食品中农药最大残留限量》（GB 2763—2019）中规定，甲拌磷在根茎类和薯芋类蔬菜中的最大残留限量为0.01mg/kg。少量的农药残留不会引起人体急性中毒，但长期食用农药残留超标的食品，对人体健康有一定影响。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建议</w:t>
      </w:r>
    </w:p>
    <w:p>
      <w:pPr>
        <w:numPr>
          <w:numId w:val="0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楷体" w:eastAsia="仿宋_GB2312"/>
          <w:b w:val="0"/>
          <w:sz w:val="32"/>
          <w:szCs w:val="32"/>
        </w:rPr>
        <w:t>1.严格把关食品原辅料。</w:t>
      </w:r>
      <w:r>
        <w:rPr>
          <w:rFonts w:hint="eastAsia" w:ascii="仿宋_GB2312" w:hAnsi="仿宋" w:eastAsia="仿宋_GB2312"/>
          <w:sz w:val="32"/>
          <w:szCs w:val="32"/>
        </w:rPr>
        <w:t>餐饮服务单位应制定并实施原辅料控制要求，并做好索票索证、采购验收等登记工作，确保各种原辅料的质量符合标准的有关规定和要求。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8"/>
          <w:rFonts w:ascii="仿宋_GB2312" w:hAnsi="楷体" w:eastAsia="仿宋_GB2312"/>
          <w:b w:val="0"/>
          <w:color w:val="2B2B2B"/>
          <w:sz w:val="32"/>
          <w:szCs w:val="32"/>
        </w:rPr>
      </w:pPr>
      <w:r>
        <w:rPr>
          <w:rStyle w:val="8"/>
          <w:rFonts w:hint="eastAsia" w:ascii="仿宋_GB2312" w:hAnsi="楷体" w:eastAsia="仿宋_GB2312"/>
          <w:b w:val="0"/>
          <w:sz w:val="32"/>
          <w:szCs w:val="32"/>
        </w:rPr>
        <w:t>2．针对此次抽检食用农产品农兽药残留不合格批次较多的情况</w:t>
      </w:r>
      <w:r>
        <w:rPr>
          <w:rStyle w:val="8"/>
          <w:rFonts w:hint="eastAsia" w:ascii="仿宋_GB2312" w:hAnsi="楷体" w:eastAsia="仿宋_GB2312"/>
          <w:b w:val="0"/>
          <w:color w:val="2B2B2B"/>
          <w:sz w:val="32"/>
          <w:szCs w:val="32"/>
        </w:rPr>
        <w:t>，应加强“从田间到餐桌”的全链条风险控制，构建全程质量安全追溯体系，关键环节层层把关，降低污染风险。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2B2B2B"/>
          <w:sz w:val="32"/>
          <w:szCs w:val="32"/>
        </w:rPr>
      </w:pPr>
      <w:r>
        <w:rPr>
          <w:rStyle w:val="8"/>
          <w:rFonts w:hint="eastAsia" w:ascii="仿宋_GB2312" w:hAnsi="楷体" w:eastAsia="仿宋_GB2312"/>
          <w:b w:val="0"/>
          <w:color w:val="2B2B2B"/>
          <w:sz w:val="32"/>
          <w:szCs w:val="32"/>
        </w:rPr>
        <w:t>3.遵守生熟食品分开的原则。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餐饮服务单位必须严格遵守生熟食品分开的原则，除了盛放、清洗、加工生熟食品的用具要严格分开外，餐厨人员在接触生肉、生菜等生鲜食品后，要及时洗手。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Style w:val="8"/>
          <w:rFonts w:hint="eastAsia" w:ascii="仿宋_GB2312" w:hAnsi="楷体" w:eastAsia="仿宋_GB2312"/>
          <w:b w:val="0"/>
          <w:color w:val="2B2B2B"/>
          <w:sz w:val="32"/>
          <w:szCs w:val="32"/>
        </w:rPr>
        <w:t>4．加强食品从业人员管理。</w:t>
      </w:r>
      <w:r>
        <w:rPr>
          <w:rFonts w:hint="eastAsia" w:ascii="仿宋_GB2312" w:hAnsi="仿宋" w:eastAsia="仿宋_GB2312"/>
          <w:color w:val="2B2B2B"/>
          <w:sz w:val="32"/>
          <w:szCs w:val="32"/>
        </w:rPr>
        <w:t>餐厨及服务人员应持有健康体检证明，需进行岗前培训和在岗培训，达到相应的岗位技术素质要求方可上岗。餐厨及服务人员应保持个人卫生，</w:t>
      </w:r>
      <w:r>
        <w:rPr>
          <w:rFonts w:hint="eastAsia" w:ascii="仿宋_GB2312" w:hAnsi="仿宋" w:eastAsia="仿宋_GB2312"/>
          <w:color w:val="2B2B2B"/>
          <w:sz w:val="32"/>
          <w:szCs w:val="32"/>
          <w:shd w:val="clear" w:color="auto" w:fill="FFFFFF"/>
        </w:rPr>
        <w:t>加工食品时应当将手洗净，穿戴清洁的工作衣帽。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left="708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EE18"/>
    <w:multiLevelType w:val="singleLevel"/>
    <w:tmpl w:val="4CB9EE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7C"/>
    <w:rsid w:val="00046334"/>
    <w:rsid w:val="000C7EF5"/>
    <w:rsid w:val="00173E26"/>
    <w:rsid w:val="001C550D"/>
    <w:rsid w:val="001E4E29"/>
    <w:rsid w:val="001E5590"/>
    <w:rsid w:val="00267ADA"/>
    <w:rsid w:val="002728FB"/>
    <w:rsid w:val="00364DA5"/>
    <w:rsid w:val="00380497"/>
    <w:rsid w:val="003C1AF4"/>
    <w:rsid w:val="00411FE7"/>
    <w:rsid w:val="00422003"/>
    <w:rsid w:val="00460EBF"/>
    <w:rsid w:val="00491FF1"/>
    <w:rsid w:val="005078A5"/>
    <w:rsid w:val="00592E8D"/>
    <w:rsid w:val="005C5901"/>
    <w:rsid w:val="005F21C2"/>
    <w:rsid w:val="00657BC0"/>
    <w:rsid w:val="00696E80"/>
    <w:rsid w:val="006B0FA1"/>
    <w:rsid w:val="00797597"/>
    <w:rsid w:val="00865398"/>
    <w:rsid w:val="00872F87"/>
    <w:rsid w:val="008A135E"/>
    <w:rsid w:val="008A23C2"/>
    <w:rsid w:val="008A2667"/>
    <w:rsid w:val="009A1F7F"/>
    <w:rsid w:val="00A46E48"/>
    <w:rsid w:val="00A55CD3"/>
    <w:rsid w:val="00A74A7A"/>
    <w:rsid w:val="00A97077"/>
    <w:rsid w:val="00AE0E9B"/>
    <w:rsid w:val="00B13C86"/>
    <w:rsid w:val="00C21F24"/>
    <w:rsid w:val="00C7115C"/>
    <w:rsid w:val="00C77B6D"/>
    <w:rsid w:val="00C83185"/>
    <w:rsid w:val="00CB488A"/>
    <w:rsid w:val="00D164C9"/>
    <w:rsid w:val="00DF037C"/>
    <w:rsid w:val="00E1232B"/>
    <w:rsid w:val="00E636C0"/>
    <w:rsid w:val="00E95381"/>
    <w:rsid w:val="00E96EF4"/>
    <w:rsid w:val="00EB156C"/>
    <w:rsid w:val="00EC4FEB"/>
    <w:rsid w:val="00EC7D45"/>
    <w:rsid w:val="00F13C44"/>
    <w:rsid w:val="00FB1D8E"/>
    <w:rsid w:val="00FC77E3"/>
    <w:rsid w:val="1A377291"/>
    <w:rsid w:val="1A3F6E88"/>
    <w:rsid w:val="246D45C9"/>
    <w:rsid w:val="2FDB6042"/>
    <w:rsid w:val="40197F70"/>
    <w:rsid w:val="446F1DA3"/>
    <w:rsid w:val="4CF16902"/>
    <w:rsid w:val="4E403DE0"/>
    <w:rsid w:val="53EF5AC0"/>
    <w:rsid w:val="5A177F72"/>
    <w:rsid w:val="601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CE5A9-5646-4C50-A27C-EAAA47FC8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306</Words>
  <Characters>1746</Characters>
  <Lines>14</Lines>
  <Paragraphs>4</Paragraphs>
  <TotalTime>7</TotalTime>
  <ScaleCrop>false</ScaleCrop>
  <LinksUpToDate>false</LinksUpToDate>
  <CharactersWithSpaces>2048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2020-04-27T02:50:00Z</dcterms:created>
  <dc:creator>liqx</dc:creator>
  <cp:lastModifiedBy>李俊妮</cp:lastModifiedBy>
  <cp:lastPrinted>2020-04-20T03:22:00Z</cp:lastPrinted>
  <dcterms:modified xsi:type="dcterms:W3CDTF">2020-04-27T09:41:48Z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