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360" w:lineRule="auto"/>
        <w:ind w:firstLine="0" w:firstLineChars="0"/>
        <w:jc w:val="left"/>
        <w:rPr>
          <w:rFonts w:ascii="黑体" w:hAnsi="宋体" w:eastAsia="黑体" w:cs="黑体"/>
        </w:rPr>
      </w:pPr>
      <w:r>
        <w:rPr>
          <w:rFonts w:hint="eastAsia" w:ascii="黑体" w:hAnsi="宋体" w:eastAsia="黑体" w:cs="黑体"/>
        </w:rPr>
        <w:t>附件1</w:t>
      </w:r>
    </w:p>
    <w:p>
      <w:pPr>
        <w:spacing w:line="72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2020年深圳第八届军地青年联谊项目综合评分表</w:t>
      </w:r>
      <w:bookmarkStart w:id="0" w:name="_GoBack"/>
      <w:bookmarkEnd w:id="0"/>
    </w:p>
    <w:tbl>
      <w:tblPr>
        <w:tblStyle w:val="3"/>
        <w:tblW w:w="11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709"/>
        <w:gridCol w:w="1442"/>
        <w:gridCol w:w="7088"/>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jc w:val="center"/>
        </w:trPr>
        <w:tc>
          <w:tcPr>
            <w:tcW w:w="1128"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评分</w:t>
            </w:r>
          </w:p>
          <w:p>
            <w:pPr>
              <w:spacing w:line="360" w:lineRule="auto"/>
              <w:jc w:val="center"/>
              <w:rPr>
                <w:rFonts w:ascii="宋体" w:hAnsi="宋体" w:eastAsia="宋体" w:cs="宋体"/>
                <w:b/>
                <w:sz w:val="24"/>
              </w:rPr>
            </w:pPr>
            <w:r>
              <w:rPr>
                <w:rFonts w:hint="eastAsia" w:ascii="宋体" w:hAnsi="宋体" w:eastAsia="宋体" w:cs="宋体"/>
                <w:b/>
                <w:sz w:val="24"/>
              </w:rPr>
              <w:t>因素</w:t>
            </w:r>
          </w:p>
        </w:tc>
        <w:tc>
          <w:tcPr>
            <w:tcW w:w="709"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分值</w:t>
            </w:r>
          </w:p>
        </w:tc>
        <w:tc>
          <w:tcPr>
            <w:tcW w:w="1442"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评分内容</w:t>
            </w:r>
          </w:p>
        </w:tc>
        <w:tc>
          <w:tcPr>
            <w:tcW w:w="7088"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评  分  标  准</w:t>
            </w:r>
          </w:p>
        </w:tc>
        <w:tc>
          <w:tcPr>
            <w:tcW w:w="811"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128" w:type="dxa"/>
            <w:vAlign w:val="center"/>
          </w:tcPr>
          <w:p>
            <w:pPr>
              <w:jc w:val="center"/>
              <w:rPr>
                <w:rFonts w:ascii="宋体" w:hAnsi="宋体" w:eastAsia="宋体" w:cs="宋体"/>
                <w:b/>
                <w:sz w:val="24"/>
              </w:rPr>
            </w:pPr>
            <w:r>
              <w:rPr>
                <w:rFonts w:hint="eastAsia" w:ascii="宋体" w:hAnsi="宋体" w:eastAsia="宋体" w:cs="宋体"/>
                <w:b/>
                <w:sz w:val="24"/>
              </w:rPr>
              <w:t>报价</w:t>
            </w:r>
          </w:p>
          <w:p>
            <w:pPr>
              <w:jc w:val="center"/>
              <w:rPr>
                <w:rFonts w:ascii="宋体" w:hAnsi="宋体" w:eastAsia="宋体" w:cs="宋体"/>
                <w:b/>
                <w:sz w:val="24"/>
              </w:rPr>
            </w:pPr>
            <w:r>
              <w:rPr>
                <w:rFonts w:hint="eastAsia" w:ascii="宋体" w:hAnsi="宋体" w:eastAsia="宋体" w:cs="宋体"/>
                <w:b/>
                <w:sz w:val="24"/>
              </w:rPr>
              <w:t>部分</w:t>
            </w:r>
          </w:p>
          <w:p>
            <w:pPr>
              <w:jc w:val="center"/>
              <w:rPr>
                <w:rFonts w:ascii="宋体" w:hAnsi="宋体" w:eastAsia="宋体" w:cs="宋体"/>
                <w:b/>
                <w:sz w:val="24"/>
              </w:rPr>
            </w:pPr>
            <w:r>
              <w:rPr>
                <w:rFonts w:hint="eastAsia" w:ascii="宋体" w:hAnsi="宋体" w:eastAsia="宋体" w:cs="宋体"/>
                <w:b/>
                <w:sz w:val="24"/>
              </w:rPr>
              <w:t>（A）</w:t>
            </w:r>
          </w:p>
        </w:tc>
        <w:tc>
          <w:tcPr>
            <w:tcW w:w="709"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20分</w:t>
            </w:r>
          </w:p>
        </w:tc>
        <w:tc>
          <w:tcPr>
            <w:tcW w:w="1442" w:type="dxa"/>
            <w:vAlign w:val="center"/>
          </w:tcPr>
          <w:p>
            <w:pPr>
              <w:jc w:val="center"/>
              <w:rPr>
                <w:rFonts w:ascii="宋体" w:hAnsi="宋体" w:eastAsia="宋体" w:cs="宋体"/>
                <w:sz w:val="21"/>
                <w:szCs w:val="21"/>
              </w:rPr>
            </w:pPr>
            <w:r>
              <w:rPr>
                <w:rFonts w:hint="eastAsia" w:ascii="宋体" w:hAnsi="宋体" w:eastAsia="宋体" w:cs="宋体"/>
                <w:sz w:val="21"/>
                <w:szCs w:val="21"/>
              </w:rPr>
              <w:t>报价得分</w:t>
            </w:r>
          </w:p>
          <w:p>
            <w:pPr>
              <w:jc w:val="center"/>
              <w:rPr>
                <w:rFonts w:ascii="宋体" w:hAnsi="宋体" w:eastAsia="宋体" w:cs="宋体"/>
                <w:sz w:val="21"/>
                <w:szCs w:val="21"/>
              </w:rPr>
            </w:pPr>
            <w:r>
              <w:rPr>
                <w:rFonts w:hint="eastAsia" w:ascii="宋体" w:hAnsi="宋体" w:eastAsia="宋体" w:cs="宋体"/>
                <w:sz w:val="21"/>
                <w:szCs w:val="21"/>
              </w:rPr>
              <w:t>（20分）</w:t>
            </w:r>
          </w:p>
        </w:tc>
        <w:tc>
          <w:tcPr>
            <w:tcW w:w="7088" w:type="dxa"/>
            <w:vAlign w:val="center"/>
          </w:tcPr>
          <w:p>
            <w:pPr>
              <w:rPr>
                <w:rFonts w:ascii="宋体" w:hAnsi="宋体" w:eastAsia="宋体" w:cs="宋体"/>
                <w:sz w:val="21"/>
                <w:szCs w:val="21"/>
              </w:rPr>
            </w:pPr>
            <w:r>
              <w:rPr>
                <w:rFonts w:hint="eastAsia" w:ascii="宋体" w:hAnsi="宋体" w:eastAsia="宋体" w:cs="宋体"/>
                <w:sz w:val="21"/>
                <w:szCs w:val="21"/>
              </w:rPr>
              <w:t>报价得分按照低价优先法计算，即满足采购招标需求且方案报价最低的投标人报价为评标基准价，其价格分为满分，其他供应商的价格得分统一按照下列公式计算：报价得分=(评标基准价／方案报价)×20。</w:t>
            </w:r>
          </w:p>
        </w:tc>
        <w:tc>
          <w:tcPr>
            <w:tcW w:w="811"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1128" w:type="dxa"/>
            <w:vMerge w:val="restart"/>
            <w:vAlign w:val="center"/>
          </w:tcPr>
          <w:p>
            <w:pPr>
              <w:spacing w:line="360" w:lineRule="auto"/>
              <w:jc w:val="center"/>
              <w:rPr>
                <w:rFonts w:ascii="宋体" w:hAnsi="宋体" w:eastAsia="宋体" w:cs="宋体"/>
                <w:b/>
                <w:sz w:val="24"/>
              </w:rPr>
            </w:pPr>
            <w:r>
              <w:rPr>
                <w:rFonts w:hint="eastAsia" w:ascii="宋体" w:hAnsi="宋体" w:eastAsia="宋体" w:cs="宋体"/>
                <w:b/>
                <w:sz w:val="24"/>
              </w:rPr>
              <w:t>技术部分</w:t>
            </w:r>
          </w:p>
          <w:p>
            <w:pPr>
              <w:spacing w:line="360" w:lineRule="auto"/>
              <w:jc w:val="center"/>
              <w:rPr>
                <w:rFonts w:ascii="宋体" w:hAnsi="宋体" w:eastAsia="宋体" w:cs="宋体"/>
                <w:b/>
                <w:sz w:val="24"/>
              </w:rPr>
            </w:pPr>
            <w:r>
              <w:rPr>
                <w:rFonts w:hint="eastAsia" w:ascii="宋体" w:hAnsi="宋体" w:eastAsia="宋体" w:cs="宋体"/>
                <w:b/>
                <w:sz w:val="24"/>
              </w:rPr>
              <w:t>（B）</w:t>
            </w:r>
          </w:p>
        </w:tc>
        <w:tc>
          <w:tcPr>
            <w:tcW w:w="709" w:type="dxa"/>
            <w:vMerge w:val="restart"/>
            <w:vAlign w:val="center"/>
          </w:tcPr>
          <w:p>
            <w:pPr>
              <w:spacing w:line="360" w:lineRule="auto"/>
              <w:jc w:val="center"/>
              <w:rPr>
                <w:rFonts w:ascii="宋体" w:hAnsi="宋体" w:eastAsia="宋体" w:cs="宋体"/>
                <w:b/>
                <w:sz w:val="24"/>
              </w:rPr>
            </w:pPr>
            <w:r>
              <w:rPr>
                <w:rFonts w:hint="eastAsia" w:ascii="宋体" w:hAnsi="宋体" w:eastAsia="宋体" w:cs="宋体"/>
                <w:b/>
                <w:sz w:val="24"/>
              </w:rPr>
              <w:t>50分</w:t>
            </w:r>
          </w:p>
        </w:tc>
        <w:tc>
          <w:tcPr>
            <w:tcW w:w="1442" w:type="dxa"/>
            <w:vAlign w:val="center"/>
          </w:tcPr>
          <w:p>
            <w:pPr>
              <w:rPr>
                <w:rFonts w:ascii="宋体" w:hAnsi="宋体" w:eastAsia="宋体" w:cs="宋体"/>
                <w:sz w:val="21"/>
                <w:szCs w:val="21"/>
              </w:rPr>
            </w:pPr>
            <w:r>
              <w:rPr>
                <w:rFonts w:hint="eastAsia" w:ascii="宋体" w:hAnsi="宋体" w:eastAsia="宋体" w:cs="宋体"/>
                <w:sz w:val="21"/>
                <w:szCs w:val="21"/>
              </w:rPr>
              <w:t>B1、项目方案得分</w:t>
            </w:r>
          </w:p>
          <w:p>
            <w:pPr>
              <w:jc w:val="center"/>
              <w:rPr>
                <w:rFonts w:ascii="宋体" w:hAnsi="宋体" w:eastAsia="宋体" w:cs="宋体"/>
                <w:sz w:val="21"/>
                <w:szCs w:val="21"/>
              </w:rPr>
            </w:pPr>
            <w:r>
              <w:rPr>
                <w:rFonts w:hint="eastAsia" w:ascii="宋体" w:hAnsi="宋体" w:eastAsia="宋体" w:cs="宋体"/>
                <w:sz w:val="21"/>
                <w:szCs w:val="21"/>
              </w:rPr>
              <w:t>（20分）</w:t>
            </w:r>
          </w:p>
        </w:tc>
        <w:tc>
          <w:tcPr>
            <w:tcW w:w="7088" w:type="dxa"/>
            <w:vAlign w:val="center"/>
          </w:tcPr>
          <w:p>
            <w:pPr>
              <w:jc w:val="left"/>
              <w:rPr>
                <w:rFonts w:ascii="宋体" w:hAnsi="宋体" w:eastAsia="宋体" w:cs="宋体"/>
                <w:sz w:val="21"/>
                <w:szCs w:val="21"/>
              </w:rPr>
            </w:pPr>
            <w:r>
              <w:rPr>
                <w:rFonts w:hint="eastAsia" w:ascii="宋体" w:hAnsi="宋体" w:eastAsia="宋体" w:cs="宋体"/>
                <w:sz w:val="21"/>
                <w:szCs w:val="21"/>
              </w:rPr>
              <w:t>具有项目总体概述，根据实际情况提供针对性的设计方案，具有针对性、有侧重点，条理清晰、表述完整，准确、充分理解项目整体要求，项目需求分析内容完整、考虑周全、分析透彻。</w:t>
            </w:r>
          </w:p>
          <w:p>
            <w:pPr>
              <w:jc w:val="left"/>
              <w:rPr>
                <w:rFonts w:ascii="宋体" w:hAnsi="宋体" w:eastAsia="宋体" w:cs="宋体"/>
                <w:sz w:val="21"/>
                <w:szCs w:val="21"/>
              </w:rPr>
            </w:pPr>
            <w:r>
              <w:rPr>
                <w:rFonts w:hint="eastAsia" w:ascii="宋体" w:hAnsi="宋体" w:eastAsia="宋体" w:cs="宋体"/>
                <w:sz w:val="21"/>
                <w:szCs w:val="21"/>
              </w:rPr>
              <w:t>在以上内容完整的基础上，根据内容的合理性进行评分：内容合理性强的评价为优得20分；内容合理性较强的评价为良得15分；内容一般合理的评价为中得10分；评价为差不得分。内容不完整按评价为差处理，不得分。</w:t>
            </w:r>
          </w:p>
        </w:tc>
        <w:tc>
          <w:tcPr>
            <w:tcW w:w="811"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28" w:type="dxa"/>
            <w:vMerge w:val="continue"/>
            <w:vAlign w:val="center"/>
          </w:tcPr>
          <w:p>
            <w:pPr>
              <w:spacing w:line="360" w:lineRule="auto"/>
              <w:jc w:val="center"/>
              <w:rPr>
                <w:rFonts w:ascii="宋体" w:hAnsi="宋体" w:eastAsia="宋体" w:cs="宋体"/>
                <w:b/>
                <w:sz w:val="24"/>
              </w:rPr>
            </w:pPr>
          </w:p>
        </w:tc>
        <w:tc>
          <w:tcPr>
            <w:tcW w:w="709" w:type="dxa"/>
            <w:vMerge w:val="continue"/>
            <w:vAlign w:val="center"/>
          </w:tcPr>
          <w:p>
            <w:pPr>
              <w:spacing w:line="360" w:lineRule="auto"/>
              <w:jc w:val="center"/>
              <w:rPr>
                <w:rFonts w:ascii="宋体" w:hAnsi="宋体" w:eastAsia="宋体" w:cs="宋体"/>
                <w:b/>
                <w:sz w:val="24"/>
              </w:rPr>
            </w:pPr>
          </w:p>
        </w:tc>
        <w:tc>
          <w:tcPr>
            <w:tcW w:w="1442" w:type="dxa"/>
            <w:vAlign w:val="center"/>
          </w:tcPr>
          <w:p>
            <w:pPr>
              <w:jc w:val="center"/>
              <w:rPr>
                <w:rFonts w:ascii="宋体" w:hAnsi="宋体" w:eastAsia="宋体" w:cs="宋体"/>
                <w:sz w:val="21"/>
                <w:szCs w:val="21"/>
              </w:rPr>
            </w:pPr>
            <w:r>
              <w:rPr>
                <w:rFonts w:hint="eastAsia" w:ascii="宋体" w:hAnsi="宋体" w:eastAsia="宋体" w:cs="宋体"/>
                <w:sz w:val="21"/>
                <w:szCs w:val="21"/>
              </w:rPr>
              <w:t>B2、团队</w:t>
            </w:r>
            <w:r>
              <w:rPr>
                <w:rFonts w:hint="eastAsia" w:ascii="宋体" w:hAnsi="宋体" w:eastAsia="宋体" w:cs="宋体"/>
                <w:kern w:val="0"/>
                <w:sz w:val="21"/>
                <w:szCs w:val="21"/>
              </w:rPr>
              <w:t>实力得分</w:t>
            </w:r>
            <w:r>
              <w:rPr>
                <w:rFonts w:hint="eastAsia" w:ascii="宋体" w:hAnsi="宋体" w:eastAsia="宋体" w:cs="宋体"/>
                <w:sz w:val="21"/>
                <w:szCs w:val="21"/>
              </w:rPr>
              <w:t>（20分）</w:t>
            </w:r>
          </w:p>
        </w:tc>
        <w:tc>
          <w:tcPr>
            <w:tcW w:w="7088" w:type="dxa"/>
            <w:vAlign w:val="center"/>
          </w:tcPr>
          <w:p>
            <w:r>
              <w:rPr>
                <w:rFonts w:hint="eastAsia" w:ascii="宋体" w:hAnsi="宋体" w:eastAsia="宋体" w:cs="宋体"/>
                <w:sz w:val="21"/>
                <w:szCs w:val="21"/>
              </w:rPr>
              <w:t>要求本项目负责人有相应项目经验。可独立带领团队项目执行落地，策划执行过大型联谊活动不少于20场，每场牵手成功率不低于20%，团队总人数至少5人以上，人员分工合理，得18分；策划执行过大型联谊活动不少于15场，每场牵手成功率不低于15%，团队总人数至少5人以上，人员分工合理，得12分；策划执行过大型联谊活动不少于8场，每场牵手成功率不低于10%，团队总人数至少5人以上，人员分工合理，得6分。注：涉及的项目经验指近5年（2015年1月1日后，以合同签订日期为准）的项目；2、投标单位：</w:t>
            </w:r>
          </w:p>
          <w:p>
            <w:pPr>
              <w:jc w:val="left"/>
              <w:rPr>
                <w:rFonts w:ascii="宋体" w:hAnsi="宋体" w:eastAsia="宋体" w:cs="宋体"/>
                <w:sz w:val="21"/>
                <w:szCs w:val="21"/>
              </w:rPr>
            </w:pPr>
            <w:r>
              <w:rPr>
                <w:rFonts w:hint="eastAsia" w:ascii="宋体" w:hAnsi="宋体" w:eastAsia="宋体" w:cs="宋体"/>
                <w:sz w:val="21"/>
                <w:szCs w:val="21"/>
              </w:rPr>
              <w:t>投标单位本地服务能力，具有广东省或在深圳市有合法注册的单位得2分，须在投标文件中就设立的机构类型进行说明，并提供机构营业执照扫描件，原件备查，否则不得分。</w:t>
            </w:r>
          </w:p>
        </w:tc>
        <w:tc>
          <w:tcPr>
            <w:tcW w:w="811"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1128" w:type="dxa"/>
            <w:vMerge w:val="continue"/>
            <w:vAlign w:val="center"/>
          </w:tcPr>
          <w:p>
            <w:pPr>
              <w:spacing w:line="360" w:lineRule="auto"/>
              <w:jc w:val="center"/>
              <w:rPr>
                <w:rFonts w:ascii="宋体" w:hAnsi="宋体" w:eastAsia="宋体" w:cs="宋体"/>
                <w:b/>
                <w:sz w:val="24"/>
              </w:rPr>
            </w:pPr>
          </w:p>
        </w:tc>
        <w:tc>
          <w:tcPr>
            <w:tcW w:w="709" w:type="dxa"/>
            <w:vMerge w:val="continue"/>
            <w:vAlign w:val="center"/>
          </w:tcPr>
          <w:p>
            <w:pPr>
              <w:spacing w:line="360" w:lineRule="auto"/>
              <w:jc w:val="center"/>
              <w:rPr>
                <w:rFonts w:ascii="宋体" w:hAnsi="宋体" w:eastAsia="宋体" w:cs="宋体"/>
                <w:b/>
                <w:sz w:val="24"/>
              </w:rPr>
            </w:pPr>
          </w:p>
        </w:tc>
        <w:tc>
          <w:tcPr>
            <w:tcW w:w="1442" w:type="dxa"/>
            <w:vAlign w:val="center"/>
          </w:tcPr>
          <w:p>
            <w:pPr>
              <w:jc w:val="center"/>
              <w:rPr>
                <w:rFonts w:ascii="宋体" w:hAnsi="宋体" w:eastAsia="宋体" w:cs="宋体"/>
                <w:sz w:val="21"/>
                <w:szCs w:val="21"/>
              </w:rPr>
            </w:pPr>
            <w:r>
              <w:rPr>
                <w:rFonts w:hint="eastAsia" w:ascii="宋体" w:hAnsi="宋体" w:eastAsia="宋体" w:cs="宋体"/>
                <w:sz w:val="21"/>
                <w:szCs w:val="21"/>
              </w:rPr>
              <w:t>B3、项目重点、难点分析（10分）</w:t>
            </w:r>
          </w:p>
        </w:tc>
        <w:tc>
          <w:tcPr>
            <w:tcW w:w="7088" w:type="dxa"/>
            <w:vAlign w:val="center"/>
          </w:tcPr>
          <w:p>
            <w:pPr>
              <w:jc w:val="left"/>
              <w:rPr>
                <w:rFonts w:ascii="宋体" w:hAnsi="宋体" w:eastAsia="宋体" w:cs="宋体"/>
                <w:sz w:val="21"/>
                <w:szCs w:val="21"/>
              </w:rPr>
            </w:pPr>
            <w:r>
              <w:rPr>
                <w:rFonts w:hint="eastAsia" w:ascii="宋体" w:hAnsi="宋体" w:eastAsia="宋体" w:cs="宋体"/>
                <w:sz w:val="21"/>
                <w:szCs w:val="21"/>
              </w:rPr>
              <w:t>提供符合本项目服务特点的相关重点难点分析、应对措施及相关的合理化建议。</w:t>
            </w:r>
            <w:r>
              <w:rPr>
                <w:rFonts w:ascii="宋体" w:hAnsi="宋体" w:eastAsia="宋体" w:cs="宋体"/>
                <w:sz w:val="21"/>
                <w:szCs w:val="21"/>
              </w:rPr>
              <w:t>（1）</w:t>
            </w:r>
            <w:r>
              <w:rPr>
                <w:rFonts w:hint="eastAsia" w:ascii="宋体" w:hAnsi="宋体" w:eastAsia="宋体" w:cs="宋体"/>
                <w:sz w:val="21"/>
                <w:szCs w:val="21"/>
              </w:rPr>
              <w:t>项目重点难点分析、应对措施及相关的合理化建议内容全面、具体；</w:t>
            </w:r>
            <w:r>
              <w:rPr>
                <w:rFonts w:ascii="宋体" w:hAnsi="宋体" w:eastAsia="宋体" w:cs="宋体"/>
                <w:sz w:val="21"/>
                <w:szCs w:val="21"/>
              </w:rPr>
              <w:t>（2）</w:t>
            </w:r>
            <w:r>
              <w:rPr>
                <w:rFonts w:hint="eastAsia" w:ascii="宋体" w:hAnsi="宋体" w:eastAsia="宋体" w:cs="宋体"/>
                <w:sz w:val="21"/>
                <w:szCs w:val="21"/>
              </w:rPr>
              <w:t>项目重点难点分析、应对措施及相关的合理化建议内容针对性强；</w:t>
            </w:r>
            <w:r>
              <w:rPr>
                <w:rFonts w:ascii="宋体" w:hAnsi="宋体" w:eastAsia="宋体" w:cs="宋体"/>
                <w:sz w:val="21"/>
                <w:szCs w:val="21"/>
              </w:rPr>
              <w:t>（3）</w:t>
            </w:r>
            <w:r>
              <w:rPr>
                <w:rFonts w:hint="eastAsia" w:ascii="宋体" w:hAnsi="宋体" w:eastAsia="宋体" w:cs="宋体"/>
                <w:sz w:val="21"/>
                <w:szCs w:val="21"/>
              </w:rPr>
              <w:t>项目重点难点分析、应对措施及相关的合理化建议内容科学合理、可操作性强；</w:t>
            </w:r>
          </w:p>
          <w:p>
            <w:pPr>
              <w:jc w:val="left"/>
              <w:rPr>
                <w:rFonts w:ascii="宋体" w:hAnsi="宋体" w:eastAsia="宋体" w:cs="宋体"/>
                <w:sz w:val="21"/>
                <w:szCs w:val="21"/>
              </w:rPr>
            </w:pPr>
            <w:r>
              <w:rPr>
                <w:rFonts w:hint="eastAsia" w:ascii="宋体" w:hAnsi="宋体" w:eastAsia="宋体" w:cs="宋体"/>
                <w:sz w:val="21"/>
                <w:szCs w:val="21"/>
              </w:rPr>
              <w:t>满足已上三项要求得10分，满足二项要求得6分，满足一项得2分，其他情况不得分。</w:t>
            </w:r>
          </w:p>
        </w:tc>
        <w:tc>
          <w:tcPr>
            <w:tcW w:w="811"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28" w:type="dxa"/>
            <w:vMerge w:val="continue"/>
            <w:vAlign w:val="center"/>
          </w:tcPr>
          <w:p>
            <w:pPr>
              <w:spacing w:line="360" w:lineRule="auto"/>
              <w:jc w:val="center"/>
              <w:rPr>
                <w:rFonts w:ascii="宋体" w:hAnsi="宋体" w:eastAsia="宋体" w:cs="宋体"/>
                <w:b/>
                <w:sz w:val="24"/>
              </w:rPr>
            </w:pPr>
          </w:p>
        </w:tc>
        <w:tc>
          <w:tcPr>
            <w:tcW w:w="9239" w:type="dxa"/>
            <w:gridSpan w:val="3"/>
            <w:vAlign w:val="center"/>
          </w:tcPr>
          <w:p>
            <w:pPr>
              <w:textAlignment w:val="baseline"/>
              <w:rPr>
                <w:rFonts w:ascii="宋体" w:hAnsi="宋体" w:eastAsia="宋体" w:cs="宋体"/>
                <w:sz w:val="21"/>
                <w:szCs w:val="21"/>
              </w:rPr>
            </w:pPr>
            <w:r>
              <w:rPr>
                <w:rFonts w:hint="eastAsia" w:ascii="宋体" w:hAnsi="宋体" w:eastAsia="宋体" w:cs="宋体"/>
                <w:sz w:val="21"/>
                <w:szCs w:val="21"/>
              </w:rPr>
              <w:t>技术部分得分（B）=B1+B2+B3</w:t>
            </w:r>
          </w:p>
        </w:tc>
        <w:tc>
          <w:tcPr>
            <w:tcW w:w="811" w:type="dxa"/>
            <w:vAlign w:val="center"/>
          </w:tcPr>
          <w:p>
            <w:pPr>
              <w:spacing w:line="360" w:lineRule="auto"/>
              <w:textAlignment w:val="baseline"/>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128" w:type="dxa"/>
            <w:vMerge w:val="restart"/>
            <w:vAlign w:val="center"/>
          </w:tcPr>
          <w:p>
            <w:pPr>
              <w:spacing w:line="360" w:lineRule="auto"/>
              <w:jc w:val="center"/>
              <w:rPr>
                <w:rFonts w:ascii="宋体" w:hAnsi="宋体" w:eastAsia="宋体" w:cs="宋体"/>
                <w:b/>
                <w:sz w:val="24"/>
              </w:rPr>
            </w:pPr>
            <w:r>
              <w:rPr>
                <w:rFonts w:hint="eastAsia" w:ascii="宋体" w:hAnsi="宋体" w:eastAsia="宋体" w:cs="宋体"/>
                <w:b/>
                <w:sz w:val="24"/>
              </w:rPr>
              <w:t>商务部分（C）</w:t>
            </w:r>
          </w:p>
        </w:tc>
        <w:tc>
          <w:tcPr>
            <w:tcW w:w="709" w:type="dxa"/>
            <w:vMerge w:val="restart"/>
            <w:vAlign w:val="center"/>
          </w:tcPr>
          <w:p>
            <w:pPr>
              <w:spacing w:line="360" w:lineRule="auto"/>
              <w:jc w:val="center"/>
              <w:rPr>
                <w:rFonts w:ascii="宋体" w:hAnsi="宋体" w:eastAsia="宋体" w:cs="宋体"/>
                <w:b/>
                <w:sz w:val="24"/>
              </w:rPr>
            </w:pPr>
            <w:r>
              <w:rPr>
                <w:rFonts w:hint="eastAsia" w:ascii="宋体" w:hAnsi="宋体" w:eastAsia="宋体" w:cs="宋体"/>
                <w:b/>
                <w:sz w:val="24"/>
              </w:rPr>
              <w:t>30分</w:t>
            </w:r>
          </w:p>
        </w:tc>
        <w:tc>
          <w:tcPr>
            <w:tcW w:w="1442" w:type="dxa"/>
            <w:vAlign w:val="center"/>
          </w:tcPr>
          <w:p>
            <w:pPr>
              <w:jc w:val="center"/>
              <w:rPr>
                <w:rFonts w:ascii="宋体" w:hAnsi="宋体" w:eastAsia="宋体" w:cs="宋体"/>
                <w:sz w:val="21"/>
                <w:szCs w:val="21"/>
              </w:rPr>
            </w:pPr>
            <w:r>
              <w:rPr>
                <w:rFonts w:hint="eastAsia" w:ascii="宋体" w:hAnsi="宋体" w:eastAsia="宋体" w:cs="宋体"/>
                <w:sz w:val="21"/>
                <w:szCs w:val="21"/>
              </w:rPr>
              <w:t>C1、同类项目经验</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分）</w:t>
            </w:r>
          </w:p>
        </w:tc>
        <w:tc>
          <w:tcPr>
            <w:tcW w:w="7088" w:type="dxa"/>
            <w:vAlign w:val="center"/>
          </w:tcPr>
          <w:p>
            <w:pPr>
              <w:jc w:val="left"/>
              <w:rPr>
                <w:rFonts w:ascii="宋体" w:hAnsi="宋体" w:eastAsia="宋体" w:cs="宋体"/>
                <w:sz w:val="21"/>
                <w:szCs w:val="21"/>
              </w:rPr>
            </w:pPr>
            <w:r>
              <w:rPr>
                <w:rFonts w:hint="eastAsia" w:ascii="宋体" w:hAnsi="宋体" w:eastAsia="宋体" w:cs="宋体"/>
                <w:sz w:val="21"/>
                <w:szCs w:val="21"/>
              </w:rPr>
              <w:t>1.投标主体参与过</w:t>
            </w:r>
            <w:r>
              <w:rPr>
                <w:rFonts w:ascii="宋体" w:hAnsi="宋体" w:eastAsia="宋体" w:cs="宋体"/>
                <w:sz w:val="21"/>
                <w:szCs w:val="21"/>
              </w:rPr>
              <w:t>2次或以上深圳市青年军地联谊项目，</w:t>
            </w:r>
            <w:r>
              <w:rPr>
                <w:rFonts w:hint="eastAsia" w:ascii="宋体" w:hAnsi="宋体" w:eastAsia="宋体" w:cs="宋体"/>
                <w:sz w:val="21"/>
                <w:szCs w:val="21"/>
              </w:rPr>
              <w:t>得</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p>
            <w:pPr>
              <w:jc w:val="left"/>
              <w:rPr>
                <w:rFonts w:ascii="宋体" w:hAnsi="宋体" w:eastAsia="宋体" w:cs="宋体"/>
                <w:sz w:val="21"/>
                <w:szCs w:val="21"/>
              </w:rPr>
            </w:pPr>
            <w:r>
              <w:rPr>
                <w:rFonts w:hint="eastAsia" w:ascii="宋体" w:hAnsi="宋体" w:eastAsia="宋体" w:cs="宋体"/>
                <w:sz w:val="21"/>
                <w:szCs w:val="21"/>
              </w:rPr>
              <w:t>2.投标主体参与过</w:t>
            </w:r>
            <w:r>
              <w:rPr>
                <w:rFonts w:ascii="宋体" w:hAnsi="宋体" w:eastAsia="宋体" w:cs="宋体"/>
                <w:sz w:val="21"/>
                <w:szCs w:val="21"/>
              </w:rPr>
              <w:t>1</w:t>
            </w:r>
            <w:r>
              <w:rPr>
                <w:rFonts w:hint="eastAsia" w:ascii="宋体" w:hAnsi="宋体" w:eastAsia="宋体" w:cs="宋体"/>
                <w:sz w:val="21"/>
                <w:szCs w:val="21"/>
              </w:rPr>
              <w:t>次</w:t>
            </w:r>
            <w:r>
              <w:rPr>
                <w:rFonts w:ascii="宋体" w:hAnsi="宋体" w:eastAsia="宋体" w:cs="宋体"/>
                <w:sz w:val="21"/>
                <w:szCs w:val="21"/>
              </w:rPr>
              <w:t>深圳市青年军地联谊项目，</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jc w:val="left"/>
              <w:rPr>
                <w:rFonts w:ascii="宋体" w:hAnsi="宋体" w:eastAsia="宋体" w:cs="宋体"/>
                <w:sz w:val="21"/>
                <w:szCs w:val="21"/>
              </w:rPr>
            </w:pPr>
            <w:r>
              <w:rPr>
                <w:rFonts w:hint="eastAsia" w:ascii="宋体" w:hAnsi="宋体" w:eastAsia="宋体" w:cs="宋体"/>
                <w:sz w:val="21"/>
                <w:szCs w:val="21"/>
              </w:rPr>
              <w:t>3.投标主体未参与，得0分。</w:t>
            </w:r>
          </w:p>
          <w:p>
            <w:pPr>
              <w:jc w:val="left"/>
              <w:rPr>
                <w:rFonts w:ascii="宋体" w:hAnsi="宋体" w:eastAsia="宋体" w:cs="宋体"/>
                <w:sz w:val="21"/>
                <w:szCs w:val="21"/>
              </w:rPr>
            </w:pPr>
            <w:r>
              <w:rPr>
                <w:rFonts w:hint="eastAsia" w:ascii="宋体" w:hAnsi="宋体" w:eastAsia="宋体" w:cs="宋体"/>
                <w:sz w:val="21"/>
                <w:szCs w:val="21"/>
              </w:rPr>
              <w:t>证明文件：投标人须提供相关有效业绩的合同关键页或中标通知书（证明文件中须清晰体现项目签订时间、项目金额、项目内容等）复印件加盖投标人公章。</w:t>
            </w:r>
          </w:p>
        </w:tc>
        <w:tc>
          <w:tcPr>
            <w:tcW w:w="811"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8" w:type="dxa"/>
            <w:vMerge w:val="continue"/>
            <w:vAlign w:val="center"/>
          </w:tcPr>
          <w:p>
            <w:pPr>
              <w:spacing w:line="360" w:lineRule="auto"/>
              <w:jc w:val="center"/>
              <w:rPr>
                <w:rFonts w:ascii="宋体" w:hAnsi="宋体" w:eastAsia="宋体" w:cs="宋体"/>
                <w:b/>
                <w:sz w:val="24"/>
              </w:rPr>
            </w:pPr>
          </w:p>
        </w:tc>
        <w:tc>
          <w:tcPr>
            <w:tcW w:w="709" w:type="dxa"/>
            <w:vMerge w:val="continue"/>
            <w:vAlign w:val="center"/>
          </w:tcPr>
          <w:p>
            <w:pPr>
              <w:spacing w:line="360" w:lineRule="auto"/>
              <w:jc w:val="center"/>
              <w:rPr>
                <w:rFonts w:ascii="宋体" w:hAnsi="宋体" w:eastAsia="宋体" w:cs="宋体"/>
                <w:b/>
                <w:sz w:val="24"/>
              </w:rPr>
            </w:pPr>
          </w:p>
        </w:tc>
        <w:tc>
          <w:tcPr>
            <w:tcW w:w="1442" w:type="dxa"/>
            <w:vAlign w:val="center"/>
          </w:tcPr>
          <w:p>
            <w:pPr>
              <w:jc w:val="center"/>
              <w:rPr>
                <w:rFonts w:ascii="宋体" w:hAnsi="宋体" w:eastAsia="宋体" w:cs="宋体"/>
                <w:sz w:val="21"/>
                <w:szCs w:val="21"/>
              </w:rPr>
            </w:pPr>
            <w:r>
              <w:rPr>
                <w:rFonts w:hint="eastAsia" w:ascii="宋体" w:hAnsi="宋体" w:eastAsia="宋体" w:cs="宋体"/>
                <w:sz w:val="21"/>
                <w:szCs w:val="21"/>
              </w:rPr>
              <w:t>C2、售后服务（</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7088" w:type="dxa"/>
            <w:vAlign w:val="center"/>
          </w:tcPr>
          <w:p>
            <w:pPr>
              <w:rPr>
                <w:rFonts w:ascii="宋体" w:hAnsi="宋体" w:eastAsia="宋体" w:cs="宋体"/>
                <w:sz w:val="21"/>
                <w:szCs w:val="21"/>
              </w:rPr>
            </w:pPr>
            <w:r>
              <w:rPr>
                <w:rFonts w:hint="eastAsia" w:ascii="宋体" w:hAnsi="宋体" w:eastAsia="宋体" w:cs="宋体"/>
                <w:sz w:val="21"/>
                <w:szCs w:val="21"/>
                <w:lang w:eastAsia="zh-CN"/>
              </w:rPr>
              <w:t>对参与活动嘉宾进行持续半年跟踪，组织</w:t>
            </w:r>
            <w:r>
              <w:rPr>
                <w:rFonts w:hint="eastAsia" w:ascii="宋体" w:hAnsi="宋体" w:eastAsia="宋体" w:cs="宋体"/>
                <w:sz w:val="21"/>
                <w:szCs w:val="21"/>
                <w:lang w:val="en-US" w:eastAsia="zh-CN"/>
              </w:rPr>
              <w:t>2-3次线下活动，制定跟踪</w:t>
            </w:r>
            <w:r>
              <w:rPr>
                <w:rFonts w:hint="eastAsia" w:ascii="宋体" w:hAnsi="宋体" w:eastAsia="宋体" w:cs="宋体"/>
                <w:sz w:val="21"/>
                <w:szCs w:val="21"/>
                <w:lang w:eastAsia="zh-CN"/>
              </w:rPr>
              <w:t>方案，建立男女嘉宾数据库。</w:t>
            </w:r>
            <w:r>
              <w:rPr>
                <w:rFonts w:hint="eastAsia" w:ascii="宋体" w:hAnsi="宋体" w:eastAsia="宋体" w:cs="宋体"/>
                <w:sz w:val="21"/>
                <w:szCs w:val="21"/>
              </w:rPr>
              <w:t>售后服务细、具体，满足用户要求且优于其他投标人售后服务承诺，并承诺在项目实施过程中能够按照客户方的需求不断完善和改进，以满足客户方的功能需求，明确服务年限、服务及时到位的得（</w:t>
            </w:r>
            <w:r>
              <w:rPr>
                <w:rFonts w:hint="eastAsia" w:ascii="宋体" w:hAnsi="宋体" w:eastAsia="宋体" w:cs="宋体"/>
                <w:sz w:val="21"/>
                <w:szCs w:val="21"/>
                <w:lang w:val="en-US" w:eastAsia="zh-CN"/>
              </w:rPr>
              <w:t>10</w:t>
            </w:r>
            <w:r>
              <w:rPr>
                <w:rFonts w:hint="eastAsia" w:ascii="宋体" w:hAnsi="宋体" w:eastAsia="宋体" w:cs="宋体"/>
                <w:sz w:val="21"/>
                <w:szCs w:val="21"/>
              </w:rPr>
              <w:t>分）；售后服务周到，具有较完善服务体系的得（5分）；售后服务体系不完备的得（</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c>
          <w:tcPr>
            <w:tcW w:w="811"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8" w:type="dxa"/>
            <w:vMerge w:val="continue"/>
            <w:vAlign w:val="center"/>
          </w:tcPr>
          <w:p>
            <w:pPr>
              <w:spacing w:line="360" w:lineRule="auto"/>
              <w:jc w:val="center"/>
              <w:rPr>
                <w:rFonts w:ascii="宋体" w:hAnsi="宋体" w:eastAsia="宋体" w:cs="宋体"/>
                <w:b/>
                <w:sz w:val="24"/>
              </w:rPr>
            </w:pPr>
          </w:p>
        </w:tc>
        <w:tc>
          <w:tcPr>
            <w:tcW w:w="709" w:type="dxa"/>
            <w:vMerge w:val="continue"/>
            <w:vAlign w:val="center"/>
          </w:tcPr>
          <w:p>
            <w:pPr>
              <w:spacing w:line="360" w:lineRule="auto"/>
              <w:jc w:val="center"/>
              <w:rPr>
                <w:rFonts w:ascii="宋体" w:hAnsi="宋体" w:eastAsia="宋体" w:cs="宋体"/>
                <w:b/>
                <w:sz w:val="24"/>
              </w:rPr>
            </w:pPr>
          </w:p>
        </w:tc>
        <w:tc>
          <w:tcPr>
            <w:tcW w:w="1442" w:type="dxa"/>
            <w:vAlign w:val="center"/>
          </w:tcPr>
          <w:p>
            <w:pPr>
              <w:jc w:val="center"/>
              <w:rPr>
                <w:rFonts w:ascii="宋体" w:hAnsi="宋体" w:eastAsia="宋体" w:cs="宋体"/>
                <w:sz w:val="21"/>
                <w:szCs w:val="21"/>
              </w:rPr>
            </w:pPr>
            <w:r>
              <w:rPr>
                <w:rFonts w:hint="eastAsia" w:ascii="宋体" w:hAnsi="宋体" w:eastAsia="宋体" w:cs="宋体"/>
                <w:sz w:val="21"/>
                <w:szCs w:val="21"/>
              </w:rPr>
              <w:t>C3、诚信承诺（5分）</w:t>
            </w:r>
          </w:p>
        </w:tc>
        <w:tc>
          <w:tcPr>
            <w:tcW w:w="7088" w:type="dxa"/>
            <w:vAlign w:val="center"/>
          </w:tcPr>
          <w:p>
            <w:pPr>
              <w:rPr>
                <w:rFonts w:ascii="宋体" w:hAnsi="宋体" w:eastAsia="宋体" w:cs="宋体"/>
                <w:sz w:val="21"/>
                <w:szCs w:val="21"/>
              </w:rPr>
            </w:pPr>
            <w:r>
              <w:rPr>
                <w:rFonts w:hint="eastAsia" w:ascii="宋体" w:hAnsi="宋体" w:eastAsia="宋体" w:cs="宋体"/>
                <w:spacing w:val="-11"/>
                <w:kern w:val="16"/>
                <w:sz w:val="21"/>
                <w:szCs w:val="21"/>
              </w:rPr>
              <w:t>投标人在参与政府采购活动中出现诚信相关问题且在相关主管部门处理措施实施期限内的本项不得分，否则得满分。（须提供《诚信承诺函》，按招标文件格式要求提供，不提供不得分。如被认定提供的陈述与事实不符的，依法追究其责任。）</w:t>
            </w:r>
          </w:p>
        </w:tc>
        <w:tc>
          <w:tcPr>
            <w:tcW w:w="811"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8" w:type="dxa"/>
            <w:vMerge w:val="continue"/>
            <w:vAlign w:val="center"/>
          </w:tcPr>
          <w:p>
            <w:pPr>
              <w:spacing w:line="360" w:lineRule="auto"/>
              <w:jc w:val="center"/>
              <w:rPr>
                <w:rFonts w:ascii="宋体" w:hAnsi="宋体" w:eastAsia="宋体" w:cs="宋体"/>
                <w:b/>
                <w:sz w:val="24"/>
              </w:rPr>
            </w:pPr>
          </w:p>
        </w:tc>
        <w:tc>
          <w:tcPr>
            <w:tcW w:w="709" w:type="dxa"/>
            <w:vMerge w:val="continue"/>
            <w:vAlign w:val="center"/>
          </w:tcPr>
          <w:p>
            <w:pPr>
              <w:spacing w:line="360" w:lineRule="auto"/>
              <w:jc w:val="center"/>
              <w:rPr>
                <w:rFonts w:ascii="宋体" w:hAnsi="宋体" w:eastAsia="宋体" w:cs="宋体"/>
                <w:b/>
                <w:sz w:val="24"/>
              </w:rPr>
            </w:pPr>
          </w:p>
        </w:tc>
        <w:tc>
          <w:tcPr>
            <w:tcW w:w="1442" w:type="dxa"/>
            <w:vAlign w:val="center"/>
          </w:tcPr>
          <w:p>
            <w:pPr>
              <w:jc w:val="center"/>
              <w:rPr>
                <w:rFonts w:ascii="宋体" w:hAnsi="宋体" w:eastAsia="宋体" w:cs="宋体"/>
                <w:sz w:val="21"/>
                <w:szCs w:val="21"/>
              </w:rPr>
            </w:pPr>
            <w:r>
              <w:rPr>
                <w:rFonts w:hint="eastAsia" w:ascii="宋体" w:hAnsi="宋体" w:eastAsia="宋体" w:cs="宋体"/>
                <w:sz w:val="21"/>
                <w:szCs w:val="21"/>
              </w:rPr>
              <w:t>C4、疫情防控（</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7088" w:type="dxa"/>
            <w:vAlign w:val="center"/>
          </w:tcPr>
          <w:p>
            <w:pPr>
              <w:rPr>
                <w:rFonts w:ascii="宋体" w:hAnsi="宋体" w:eastAsia="宋体" w:cs="宋体"/>
                <w:sz w:val="21"/>
                <w:szCs w:val="21"/>
              </w:rPr>
            </w:pPr>
            <w:r>
              <w:rPr>
                <w:rFonts w:hint="eastAsia" w:ascii="宋体" w:hAnsi="宋体" w:eastAsia="宋体" w:cs="宋体"/>
                <w:spacing w:val="-11"/>
                <w:kern w:val="16"/>
                <w:sz w:val="21"/>
                <w:szCs w:val="21"/>
                <w:lang w:val="en-US" w:eastAsia="zh-CN"/>
              </w:rPr>
              <w:t>疫情防控重点企业此评分项中满分为3分，稳岗企业此评分项中满分为2分。具体按以下方式评分：1.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2.未裁员或裁员率低于20%的企业，即投标前一个月实际参加社会保险（至少包括养老保险）的员工人数（含免缴或延期缴纳社会保险人数）不低于2019年12月同口径人数80%（含）的企业，视为稳岗企业，提供自身符合稳岗企业条件的承诺函即可获得评审得分，同时招标文件中应当注明：投标人提供虚假承诺的，将做无效投标处理，涉嫌存在违法违规行为的，依法报主管部门处理处罚。</w:t>
            </w:r>
          </w:p>
        </w:tc>
        <w:tc>
          <w:tcPr>
            <w:tcW w:w="811"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28" w:type="dxa"/>
            <w:vMerge w:val="continue"/>
            <w:vAlign w:val="center"/>
          </w:tcPr>
          <w:p>
            <w:pPr>
              <w:widowControl/>
              <w:spacing w:line="360" w:lineRule="auto"/>
              <w:jc w:val="center"/>
              <w:rPr>
                <w:rFonts w:ascii="宋体" w:hAnsi="宋体" w:eastAsia="宋体" w:cs="宋体"/>
                <w:b/>
                <w:sz w:val="24"/>
              </w:rPr>
            </w:pPr>
          </w:p>
        </w:tc>
        <w:tc>
          <w:tcPr>
            <w:tcW w:w="709" w:type="dxa"/>
            <w:vMerge w:val="continue"/>
            <w:vAlign w:val="center"/>
          </w:tcPr>
          <w:p>
            <w:pPr>
              <w:widowControl/>
              <w:spacing w:line="360" w:lineRule="auto"/>
              <w:jc w:val="center"/>
              <w:rPr>
                <w:rFonts w:ascii="宋体" w:hAnsi="宋体" w:eastAsia="宋体" w:cs="宋体"/>
                <w:b/>
                <w:sz w:val="24"/>
              </w:rPr>
            </w:pPr>
          </w:p>
        </w:tc>
        <w:tc>
          <w:tcPr>
            <w:tcW w:w="8530" w:type="dxa"/>
            <w:gridSpan w:val="2"/>
            <w:vAlign w:val="center"/>
          </w:tcPr>
          <w:p>
            <w:pPr>
              <w:ind w:left="420" w:hanging="420" w:hangingChars="200"/>
              <w:jc w:val="center"/>
              <w:rPr>
                <w:rFonts w:ascii="宋体" w:hAnsi="宋体" w:eastAsia="宋体" w:cs="宋体"/>
                <w:sz w:val="21"/>
                <w:szCs w:val="21"/>
              </w:rPr>
            </w:pPr>
            <w:r>
              <w:rPr>
                <w:rFonts w:hint="eastAsia" w:ascii="宋体" w:hAnsi="宋体" w:eastAsia="宋体" w:cs="宋体"/>
                <w:sz w:val="21"/>
                <w:szCs w:val="21"/>
              </w:rPr>
              <w:t>商务部分得分（C）=C1+C2</w:t>
            </w:r>
            <w:r>
              <w:rPr>
                <w:rFonts w:ascii="宋体" w:hAnsi="宋体" w:eastAsia="宋体" w:cs="宋体"/>
                <w:sz w:val="21"/>
                <w:szCs w:val="21"/>
              </w:rPr>
              <w:t>+</w:t>
            </w:r>
            <w:r>
              <w:rPr>
                <w:rFonts w:hint="eastAsia" w:ascii="宋体" w:hAnsi="宋体" w:eastAsia="宋体" w:cs="宋体"/>
                <w:sz w:val="21"/>
                <w:szCs w:val="21"/>
              </w:rPr>
              <w:t>C3+C4</w:t>
            </w:r>
          </w:p>
        </w:tc>
        <w:tc>
          <w:tcPr>
            <w:tcW w:w="811" w:type="dxa"/>
            <w:vAlign w:val="center"/>
          </w:tcPr>
          <w:p>
            <w:pPr>
              <w:spacing w:line="360" w:lineRule="auto"/>
              <w:ind w:left="480" w:hanging="480" w:hangingChars="200"/>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0367" w:type="dxa"/>
            <w:gridSpan w:val="4"/>
            <w:vAlign w:val="center"/>
          </w:tcPr>
          <w:p>
            <w:pPr>
              <w:spacing w:line="360" w:lineRule="auto"/>
              <w:jc w:val="center"/>
              <w:rPr>
                <w:rFonts w:ascii="宋体" w:hAnsi="宋体" w:eastAsia="宋体" w:cs="宋体"/>
                <w:b/>
                <w:sz w:val="24"/>
              </w:rPr>
            </w:pPr>
            <w:r>
              <w:rPr>
                <w:rFonts w:hint="eastAsia" w:ascii="宋体" w:hAnsi="宋体" w:eastAsia="宋体" w:cs="宋体"/>
                <w:b/>
                <w:sz w:val="24"/>
              </w:rPr>
              <w:t>评标总得分 Z = A + B + C</w:t>
            </w:r>
          </w:p>
        </w:tc>
        <w:tc>
          <w:tcPr>
            <w:tcW w:w="811" w:type="dxa"/>
            <w:vAlign w:val="center"/>
          </w:tcPr>
          <w:p>
            <w:pPr>
              <w:spacing w:line="360" w:lineRule="auto"/>
              <w:jc w:val="center"/>
              <w:rPr>
                <w:rFonts w:ascii="宋体" w:hAnsi="宋体" w:eastAsia="宋体" w:cs="宋体"/>
                <w:b/>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EE6894"/>
    <w:rsid w:val="5EB22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Calibri"/>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2020-09-17T02:45:00Z</dcterms:created>
  <dc:creator>Administrator</dc:creator>
  <cp:lastModifiedBy>Darcya</cp:lastModifiedBy>
  <dcterms:modified xsi:type="dcterms:W3CDTF">2020-09-17T02:57:36Z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