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zh-TW" w:eastAsia="zh-CN"/>
        </w:rPr>
        <w:t>“强安杯”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知识竞赛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活动相关规则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得分规则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每个用户全部答对1组题（5道），即可为所在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累积1个参加人次。同时，可为个人获得5个积分（平台得分前10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名的用户可获得个人奖励）。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未全部答对，既不计算区参加人次，也不计算个人积分。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区组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计分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区组得分</w:t>
      </w:r>
      <w:r>
        <w:rPr>
          <w:rFonts w:hint="eastAsia" w:ascii="仿宋_GB2312" w:hAnsi="仿宋_GB2312" w:eastAsia="仿宋_GB2312" w:cs="仿宋_GB2312"/>
          <w:sz w:val="32"/>
          <w:szCs w:val="32"/>
        </w:rPr>
        <w:t>=“学习强安”平台竞赛成绩+</w:t>
      </w:r>
      <w:r>
        <w:rPr>
          <w:rFonts w:ascii="仿宋_GB2312" w:hAnsi="仿宋_GB2312" w:eastAsia="仿宋_GB2312" w:cs="仿宋_GB2312"/>
          <w:sz w:val="32"/>
          <w:szCs w:val="32"/>
        </w:rPr>
        <w:t>全国普法知识竞赛成绩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1）“学习强安”平台成绩计算方法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以各区常住人口基数，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参加活动的人次数比例。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“学习强安”平台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竞赛成绩=</w:t>
      </w:r>
      <w:r>
        <w:rPr>
          <w:rFonts w:hint="eastAsia" w:ascii="仿宋_GB2312" w:hAnsi="仿宋_GB2312" w:eastAsia="仿宋_GB2312" w:cs="仿宋_GB2312"/>
          <w:sz w:val="32"/>
          <w:szCs w:val="32"/>
        </w:rPr>
        <w:t>100*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各区参与总人次/各区常住人口数。</w:t>
      </w:r>
    </w:p>
    <w:tbl>
      <w:tblPr>
        <w:tblStyle w:val="4"/>
        <w:tblW w:w="81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0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区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常住人口（万人）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福田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163.37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罗湖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103.99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盐田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南山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149.36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宝安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325.78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龙岗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238.64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龙华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167.28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坪山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44.63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光明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62.5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大鹏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深汕</w:t>
            </w:r>
          </w:p>
        </w:tc>
        <w:tc>
          <w:tcPr>
            <w:tcW w:w="601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7.51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常住人口数据来源：深圳市统计局《深圳统计年鉴2019》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2）全国普法知识竞赛得分计算方法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以各区参加全国普法知识竞赛成绩排名为依据，正式赛总得分第1至11名的区分别获得100分、95分、90分、85分、80分、75分、70分、65分、60分、55分、50分。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企业组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计分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企业组的得分取该企业参与用户参赛积分总和。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）出线规则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为体现比赛的公平性，扩大参与度，综合考虑各区企业数量、员工人数以及常住人口实际，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从福田、罗湖、南山、宝安、龙岗、龙华、光明7个区选出得分前4名，从坪山、盐田、大鹏、深汕4个区选出得分前2名，共6支队伍进入决赛。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企业组中选出总积分前6名的队伍进入决赛。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）得分规则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比赛开始前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根据12支队伍初赛成绩进行排名设置基础分数，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区组和企业组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两个组分别排名，排名第1至6名的队伍分别获得基础分数150分、140分、130分、120分、110分、100分。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抢答题环节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抢答题共20道题，总分400分。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主持人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依次出题，各队伍按抢答器抢答，抢到答题权队伍答题。抢到答题权后，队伍应在5秒内给出答案，回答正确加20分，回答错误倒扣10分。提前按铃、回答超时均按回答错误处理。回答错误后题目作废。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视频题环节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视频题共2道题，总分80分。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大屏播放包含2处安全领域错误示范的视频，所有队伍同时观看和作答。队员应在答题板上写出错误之处及正确方法。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每个视频播放2次，视频结束后有3分钟的答题时间。答题结束后各队同时亮出答案，由专家评分。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准确写出两处错误及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正确方法，得40分；写对一处错误及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正确方法得20分；其他情况均不得分。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风险题环节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风险题共16道，不同的题目难度对应不同的分值。参赛队伍必须选择1道题作答。题目选择的顺序按当前队伍竞赛分数降序排列，总分最低队伍优先选择。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各队伍将答题写在白板上，由评委评定是否正确。答对可获得对应分数，答错或回答不充分不得分。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最高难度题目共4道，100分/道。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较高难度题目共4道，60分/道。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中等难度题目共4道，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0分/道。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最低难度题目共4道，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0分/道。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TW"/>
        </w:rPr>
        <w:t>）评委设置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决赛将设置赛事评选委员会，邀请行业内资深专家作为裁判，对比赛进行全流程的客观评分，保证比赛的公正性。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pPr>
        <w:pStyle w:val="3"/>
        <w:rPr>
          <w:rFonts w:hint="eastAsia" w:ascii="黑体" w:hAnsi="仿宋_GB2312" w:eastAsia="黑体" w:cs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eastAsia="宋体" w:cs="宋体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2020-09-15T01:51:59Z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