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
          <w:tab w:val="center" w:pos="4153"/>
        </w:tabs>
        <w:snapToGrid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tabs>
          <w:tab w:val="left" w:pos="660"/>
          <w:tab w:val="center" w:pos="4153"/>
        </w:tabs>
        <w:snapToGrid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关于“八一”选点慰问物资包装宣传用品</w:t>
      </w:r>
    </w:p>
    <w:p>
      <w:pPr>
        <w:tabs>
          <w:tab w:val="left" w:pos="660"/>
          <w:tab w:val="center" w:pos="4153"/>
        </w:tabs>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招标</w:t>
      </w:r>
      <w:r>
        <w:rPr>
          <w:rFonts w:hint="eastAsia" w:ascii="方正小标宋简体" w:hAnsi="方正小标宋简体" w:eastAsia="方正小标宋简体" w:cs="方正小标宋简体"/>
          <w:sz w:val="44"/>
          <w:szCs w:val="44"/>
        </w:rPr>
        <w:t>评分表</w:t>
      </w:r>
    </w:p>
    <w:tbl>
      <w:tblPr>
        <w:tblStyle w:val="5"/>
        <w:tblpPr w:leftFromText="180" w:rightFromText="180" w:vertAnchor="text" w:horzAnchor="page" w:tblpX="523" w:tblpY="1685"/>
        <w:tblOverlap w:val="never"/>
        <w:tblW w:w="11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1128" w:type="dxa"/>
            <w:vAlign w:val="center"/>
          </w:tcPr>
          <w:p>
            <w:pPr>
              <w:spacing w:line="360" w:lineRule="auto"/>
              <w:jc w:val="center"/>
              <w:rPr>
                <w:rFonts w:ascii="宋体" w:hAnsi="宋体" w:eastAsia="宋体" w:cs="华文仿宋"/>
                <w:b/>
                <w:szCs w:val="21"/>
              </w:rPr>
            </w:pPr>
            <w:r>
              <w:rPr>
                <w:rFonts w:hint="eastAsia" w:ascii="宋体" w:hAnsi="宋体" w:eastAsia="宋体" w:cs="华文仿宋"/>
                <w:b/>
                <w:szCs w:val="21"/>
              </w:rPr>
              <w:t>评分</w:t>
            </w:r>
          </w:p>
          <w:p>
            <w:pPr>
              <w:spacing w:line="360" w:lineRule="auto"/>
              <w:jc w:val="center"/>
              <w:rPr>
                <w:rFonts w:ascii="宋体" w:hAnsi="宋体" w:eastAsia="宋体" w:cs="华文仿宋"/>
                <w:b/>
                <w:szCs w:val="21"/>
              </w:rPr>
            </w:pPr>
            <w:r>
              <w:rPr>
                <w:rFonts w:hint="eastAsia" w:ascii="宋体" w:hAnsi="宋体" w:eastAsia="宋体" w:cs="华文仿宋"/>
                <w:b/>
                <w:szCs w:val="21"/>
              </w:rPr>
              <w:t>因素</w:t>
            </w:r>
          </w:p>
        </w:tc>
        <w:tc>
          <w:tcPr>
            <w:tcW w:w="709" w:type="dxa"/>
            <w:vAlign w:val="center"/>
          </w:tcPr>
          <w:p>
            <w:pPr>
              <w:spacing w:line="360" w:lineRule="auto"/>
              <w:jc w:val="center"/>
              <w:rPr>
                <w:rFonts w:ascii="宋体" w:hAnsi="宋体" w:eastAsia="宋体" w:cs="华文仿宋"/>
                <w:b/>
                <w:szCs w:val="21"/>
              </w:rPr>
            </w:pPr>
            <w:r>
              <w:rPr>
                <w:rFonts w:hint="eastAsia" w:ascii="宋体" w:hAnsi="宋体" w:eastAsia="宋体" w:cs="华文仿宋"/>
                <w:b/>
                <w:szCs w:val="21"/>
              </w:rPr>
              <w:t>分值</w:t>
            </w:r>
          </w:p>
        </w:tc>
        <w:tc>
          <w:tcPr>
            <w:tcW w:w="1442" w:type="dxa"/>
            <w:vAlign w:val="center"/>
          </w:tcPr>
          <w:p>
            <w:pPr>
              <w:spacing w:line="360" w:lineRule="auto"/>
              <w:jc w:val="center"/>
              <w:rPr>
                <w:rFonts w:ascii="宋体" w:hAnsi="宋体" w:eastAsia="宋体"/>
                <w:b/>
                <w:szCs w:val="21"/>
              </w:rPr>
            </w:pPr>
            <w:r>
              <w:rPr>
                <w:rFonts w:hint="eastAsia" w:ascii="宋体" w:hAnsi="宋体" w:eastAsia="宋体"/>
                <w:b/>
                <w:szCs w:val="21"/>
              </w:rPr>
              <w:t>评分内容</w:t>
            </w:r>
          </w:p>
        </w:tc>
        <w:tc>
          <w:tcPr>
            <w:tcW w:w="7088" w:type="dxa"/>
            <w:vAlign w:val="center"/>
          </w:tcPr>
          <w:p>
            <w:pPr>
              <w:spacing w:line="360" w:lineRule="auto"/>
              <w:jc w:val="center"/>
              <w:rPr>
                <w:rFonts w:ascii="宋体" w:hAnsi="宋体" w:eastAsia="宋体"/>
                <w:b/>
                <w:szCs w:val="21"/>
              </w:rPr>
            </w:pPr>
            <w:r>
              <w:rPr>
                <w:rFonts w:hint="eastAsia" w:ascii="宋体" w:hAnsi="宋体" w:eastAsia="宋体"/>
                <w:b/>
                <w:szCs w:val="21"/>
              </w:rPr>
              <w:t>评  分  标  准</w:t>
            </w:r>
          </w:p>
        </w:tc>
        <w:tc>
          <w:tcPr>
            <w:tcW w:w="811" w:type="dxa"/>
            <w:vAlign w:val="center"/>
          </w:tcPr>
          <w:p>
            <w:pPr>
              <w:spacing w:line="360" w:lineRule="auto"/>
              <w:jc w:val="center"/>
              <w:rPr>
                <w:rFonts w:ascii="宋体" w:hAnsi="宋体" w:eastAsia="宋体"/>
                <w:b/>
                <w:szCs w:val="21"/>
              </w:rPr>
            </w:pPr>
            <w:r>
              <w:rPr>
                <w:rFonts w:hint="eastAsia" w:ascii="宋体" w:hAnsi="宋体" w:eastAsia="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128" w:type="dxa"/>
            <w:vAlign w:val="center"/>
          </w:tcPr>
          <w:p>
            <w:pPr>
              <w:spacing w:line="360" w:lineRule="auto"/>
              <w:jc w:val="center"/>
              <w:rPr>
                <w:rFonts w:ascii="宋体" w:hAnsi="宋体" w:eastAsia="宋体"/>
                <w:b/>
                <w:szCs w:val="21"/>
              </w:rPr>
            </w:pPr>
            <w:r>
              <w:rPr>
                <w:rFonts w:hint="eastAsia" w:ascii="宋体" w:hAnsi="宋体" w:eastAsia="宋体"/>
                <w:b/>
                <w:szCs w:val="21"/>
              </w:rPr>
              <w:t>报价</w:t>
            </w:r>
          </w:p>
          <w:p>
            <w:pPr>
              <w:spacing w:line="360" w:lineRule="auto"/>
              <w:jc w:val="center"/>
              <w:rPr>
                <w:rFonts w:ascii="宋体" w:hAnsi="宋体" w:eastAsia="宋体"/>
                <w:b/>
                <w:szCs w:val="21"/>
              </w:rPr>
            </w:pPr>
            <w:r>
              <w:rPr>
                <w:rFonts w:hint="eastAsia" w:ascii="宋体" w:hAnsi="宋体" w:eastAsia="宋体"/>
                <w:b/>
                <w:szCs w:val="21"/>
              </w:rPr>
              <w:t>部分</w:t>
            </w:r>
          </w:p>
          <w:p>
            <w:pPr>
              <w:spacing w:line="360" w:lineRule="auto"/>
              <w:jc w:val="center"/>
              <w:rPr>
                <w:rFonts w:ascii="宋体" w:hAnsi="宋体" w:eastAsia="宋体"/>
                <w:b/>
                <w:szCs w:val="21"/>
              </w:rPr>
            </w:pPr>
            <w:r>
              <w:rPr>
                <w:rFonts w:hint="eastAsia" w:ascii="宋体" w:hAnsi="宋体" w:eastAsia="宋体"/>
                <w:b/>
                <w:szCs w:val="21"/>
              </w:rPr>
              <w:t>（A）</w:t>
            </w:r>
          </w:p>
        </w:tc>
        <w:tc>
          <w:tcPr>
            <w:tcW w:w="709" w:type="dxa"/>
            <w:vAlign w:val="center"/>
          </w:tcPr>
          <w:p>
            <w:pPr>
              <w:spacing w:line="360" w:lineRule="auto"/>
              <w:jc w:val="center"/>
              <w:rPr>
                <w:rFonts w:ascii="宋体" w:hAnsi="宋体" w:eastAsia="宋体"/>
                <w:b/>
                <w:szCs w:val="21"/>
              </w:rPr>
            </w:pPr>
            <w:r>
              <w:rPr>
                <w:rFonts w:hint="eastAsia" w:ascii="宋体" w:hAnsi="宋体" w:eastAsia="宋体"/>
                <w:b/>
                <w:szCs w:val="21"/>
                <w:lang w:val="en-US" w:eastAsia="zh-CN"/>
              </w:rPr>
              <w:t>30</w:t>
            </w:r>
            <w:r>
              <w:rPr>
                <w:rFonts w:hint="eastAsia" w:ascii="宋体" w:hAnsi="宋体" w:eastAsia="宋体"/>
                <w:b/>
                <w:szCs w:val="21"/>
              </w:rPr>
              <w:t>分</w:t>
            </w:r>
          </w:p>
        </w:tc>
        <w:tc>
          <w:tcPr>
            <w:tcW w:w="1442"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报价得分</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708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w:t>
            </w:r>
          </w:p>
        </w:tc>
        <w:tc>
          <w:tcPr>
            <w:tcW w:w="811"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128" w:type="dxa"/>
            <w:vMerge w:val="restart"/>
            <w:vAlign w:val="center"/>
          </w:tcPr>
          <w:p>
            <w:pPr>
              <w:spacing w:line="360" w:lineRule="auto"/>
              <w:jc w:val="center"/>
              <w:rPr>
                <w:rFonts w:ascii="宋体" w:hAnsi="宋体" w:eastAsia="宋体"/>
                <w:b/>
                <w:szCs w:val="21"/>
              </w:rPr>
            </w:pPr>
            <w:r>
              <w:rPr>
                <w:rFonts w:hint="eastAsia" w:ascii="宋体" w:hAnsi="宋体" w:eastAsia="宋体"/>
                <w:b/>
                <w:szCs w:val="21"/>
              </w:rPr>
              <w:t>技术部分</w:t>
            </w:r>
          </w:p>
          <w:p>
            <w:pPr>
              <w:spacing w:line="360" w:lineRule="auto"/>
              <w:jc w:val="center"/>
              <w:rPr>
                <w:rFonts w:ascii="宋体" w:hAnsi="宋体" w:eastAsia="宋体"/>
                <w:b/>
                <w:szCs w:val="21"/>
              </w:rPr>
            </w:pPr>
            <w:r>
              <w:rPr>
                <w:rFonts w:hint="eastAsia" w:ascii="宋体" w:hAnsi="宋体" w:eastAsia="宋体"/>
                <w:b/>
                <w:szCs w:val="21"/>
              </w:rPr>
              <w:t>（B）</w:t>
            </w:r>
          </w:p>
        </w:tc>
        <w:tc>
          <w:tcPr>
            <w:tcW w:w="709" w:type="dxa"/>
            <w:vMerge w:val="restart"/>
            <w:vAlign w:val="center"/>
          </w:tcPr>
          <w:p>
            <w:pPr>
              <w:spacing w:line="360" w:lineRule="auto"/>
              <w:jc w:val="center"/>
              <w:rPr>
                <w:rFonts w:hint="default" w:ascii="宋体" w:hAnsi="宋体" w:eastAsia="宋体"/>
                <w:b/>
                <w:szCs w:val="21"/>
                <w:lang w:val="en-US"/>
              </w:rPr>
            </w:pPr>
            <w:r>
              <w:rPr>
                <w:rFonts w:hint="eastAsia" w:ascii="宋体" w:hAnsi="宋体" w:eastAsia="宋体"/>
                <w:b/>
                <w:szCs w:val="21"/>
                <w:lang w:val="en-US" w:eastAsia="zh-CN"/>
              </w:rPr>
              <w:t>40分</w:t>
            </w:r>
          </w:p>
        </w:tc>
        <w:tc>
          <w:tcPr>
            <w:tcW w:w="1442" w:type="dxa"/>
            <w:vAlign w:val="center"/>
          </w:tcPr>
          <w:p>
            <w:pPr>
              <w:spacing w:line="360" w:lineRule="auto"/>
              <w:ind w:left="480" w:hanging="480" w:hangingChars="20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B1</w:t>
            </w:r>
            <w:r>
              <w:rPr>
                <w:rFonts w:hint="eastAsia" w:ascii="仿宋_GB2312" w:hAnsi="仿宋_GB2312" w:eastAsia="仿宋_GB2312" w:cs="仿宋_GB2312"/>
                <w:sz w:val="24"/>
                <w:szCs w:val="24"/>
                <w:lang w:val="en-US" w:eastAsia="zh-CN"/>
              </w:rPr>
              <w:t>.设计方</w:t>
            </w:r>
          </w:p>
          <w:p>
            <w:pPr>
              <w:spacing w:line="360" w:lineRule="auto"/>
              <w:ind w:left="480" w:hanging="480" w:hangingChars="20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案得分</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7088" w:type="dxa"/>
          </w:tcPr>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针对该活动所制定的方案需设计符合我</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rPr>
              <w:t>突出主</w:t>
            </w:r>
            <w:r>
              <w:rPr>
                <w:rFonts w:hint="eastAsia" w:ascii="仿宋_GB2312" w:hAnsi="仿宋_GB2312" w:eastAsia="仿宋_GB2312" w:cs="仿宋_GB2312"/>
                <w:sz w:val="24"/>
                <w:szCs w:val="24"/>
                <w:lang w:val="en-US" w:eastAsia="zh-CN"/>
              </w:rPr>
              <w:t>题</w:t>
            </w:r>
            <w:r>
              <w:rPr>
                <w:rFonts w:hint="eastAsia" w:ascii="仿宋_GB2312" w:hAnsi="仿宋_GB2312" w:eastAsia="仿宋_GB2312" w:cs="仿宋_GB2312"/>
                <w:sz w:val="24"/>
                <w:szCs w:val="24"/>
              </w:rPr>
              <w:t>的宣传内容效果图。按照投标文件响应情况进行横向比较，分档评分：评价为优得</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分；评价为良得</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分；评价为中得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分；评价为差得</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tc>
        <w:tc>
          <w:tcPr>
            <w:tcW w:w="811"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28" w:type="dxa"/>
            <w:vMerge w:val="continue"/>
            <w:vAlign w:val="center"/>
          </w:tcPr>
          <w:p>
            <w:pPr>
              <w:spacing w:line="360" w:lineRule="auto"/>
              <w:jc w:val="center"/>
              <w:rPr>
                <w:rFonts w:ascii="宋体" w:hAnsi="宋体" w:eastAsia="宋体"/>
                <w:b/>
                <w:szCs w:val="21"/>
              </w:rPr>
            </w:pPr>
          </w:p>
        </w:tc>
        <w:tc>
          <w:tcPr>
            <w:tcW w:w="709" w:type="dxa"/>
            <w:vMerge w:val="continue"/>
            <w:vAlign w:val="center"/>
          </w:tcPr>
          <w:p>
            <w:pPr>
              <w:spacing w:line="360" w:lineRule="auto"/>
              <w:jc w:val="center"/>
              <w:rPr>
                <w:rFonts w:ascii="宋体" w:hAnsi="宋体" w:eastAsia="宋体"/>
                <w:b/>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B2</w:t>
            </w:r>
            <w:r>
              <w:rPr>
                <w:rFonts w:hint="eastAsia" w:ascii="仿宋_GB2312" w:hAnsi="仿宋_GB2312" w:eastAsia="仿宋_GB2312" w:cs="仿宋_GB2312"/>
                <w:sz w:val="24"/>
                <w:szCs w:val="24"/>
                <w:lang w:val="en-US" w:eastAsia="zh-CN"/>
              </w:rPr>
              <w:t>.制作材</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质要求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708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宽度35*高度40*底宽10cm(</w:t>
            </w:r>
            <w:r>
              <w:rPr>
                <w:rFonts w:hint="eastAsia" w:ascii="仿宋_GB2312" w:hAnsi="仿宋_GB2312" w:eastAsia="仿宋_GB2312" w:cs="仿宋_GB2312"/>
                <w:sz w:val="24"/>
                <w:szCs w:val="24"/>
                <w:lang w:val="en-US" w:eastAsia="zh-CN"/>
              </w:rPr>
              <w:t>可根据我局要求做相应调整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材质：</w:t>
            </w:r>
            <w:r>
              <w:rPr>
                <w:rFonts w:hint="eastAsia" w:ascii="仿宋_GB2312" w:hAnsi="仿宋_GB2312" w:eastAsia="仿宋_GB2312" w:cs="仿宋_GB2312"/>
                <w:sz w:val="24"/>
                <w:szCs w:val="24"/>
                <w:lang w:val="en-US" w:eastAsia="zh-CN"/>
              </w:rPr>
              <w:t>不低于</w:t>
            </w:r>
            <w:r>
              <w:rPr>
                <w:rFonts w:hint="eastAsia" w:ascii="仿宋_GB2312" w:hAnsi="仿宋_GB2312" w:eastAsia="仿宋_GB2312" w:cs="仿宋_GB2312"/>
                <w:sz w:val="24"/>
                <w:szCs w:val="24"/>
              </w:rPr>
              <w:t>16胺厚度3*3密度高级帆布材质。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3.印刷：丝网浆印、全车缝锁边工艺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投标商提供《承诺函》，格式自拟</w:t>
            </w:r>
            <w:r>
              <w:rPr>
                <w:rFonts w:hint="eastAsia" w:ascii="仿宋_GB2312" w:hAnsi="仿宋_GB2312" w:eastAsia="仿宋_GB2312" w:cs="仿宋_GB2312"/>
                <w:sz w:val="24"/>
                <w:szCs w:val="24"/>
                <w:lang w:eastAsia="zh-CN"/>
              </w:rPr>
              <w:t>）</w:t>
            </w:r>
          </w:p>
        </w:tc>
        <w:tc>
          <w:tcPr>
            <w:tcW w:w="811"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28" w:type="dxa"/>
            <w:vMerge w:val="continue"/>
            <w:vAlign w:val="center"/>
          </w:tcPr>
          <w:p>
            <w:pPr>
              <w:spacing w:line="360" w:lineRule="auto"/>
              <w:jc w:val="center"/>
              <w:rPr>
                <w:rFonts w:ascii="宋体" w:hAnsi="宋体" w:eastAsia="宋体"/>
                <w:b/>
                <w:szCs w:val="21"/>
              </w:rPr>
            </w:pPr>
          </w:p>
        </w:tc>
        <w:tc>
          <w:tcPr>
            <w:tcW w:w="9239" w:type="dxa"/>
            <w:gridSpan w:val="3"/>
          </w:tcPr>
          <w:p>
            <w:pPr>
              <w:spacing w:line="360"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技术部分得分（B）=B1+B2</w:t>
            </w:r>
          </w:p>
        </w:tc>
        <w:tc>
          <w:tcPr>
            <w:tcW w:w="811" w:type="dxa"/>
          </w:tcPr>
          <w:p>
            <w:pPr>
              <w:spacing w:line="360" w:lineRule="auto"/>
              <w:textAlignment w:val="baselin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28" w:type="dxa"/>
            <w:vMerge w:val="restart"/>
            <w:vAlign w:val="center"/>
          </w:tcPr>
          <w:p>
            <w:pPr>
              <w:spacing w:line="360" w:lineRule="auto"/>
              <w:jc w:val="center"/>
              <w:rPr>
                <w:rFonts w:ascii="宋体" w:hAnsi="宋体" w:eastAsia="宋体"/>
                <w:b/>
                <w:szCs w:val="21"/>
              </w:rPr>
            </w:pPr>
            <w:r>
              <w:rPr>
                <w:rFonts w:hint="eastAsia" w:ascii="宋体" w:hAnsi="宋体" w:eastAsia="宋体"/>
                <w:b/>
                <w:szCs w:val="21"/>
              </w:rPr>
              <w:t>商务部分（C）</w:t>
            </w:r>
          </w:p>
        </w:tc>
        <w:tc>
          <w:tcPr>
            <w:tcW w:w="709" w:type="dxa"/>
            <w:vMerge w:val="restart"/>
            <w:vAlign w:val="center"/>
          </w:tcPr>
          <w:p>
            <w:pPr>
              <w:spacing w:line="360" w:lineRule="auto"/>
              <w:jc w:val="center"/>
              <w:rPr>
                <w:rFonts w:hint="default" w:ascii="宋体" w:hAnsi="宋体" w:eastAsia="宋体"/>
                <w:b/>
                <w:szCs w:val="21"/>
                <w:lang w:val="en-US" w:eastAsia="zh-CN"/>
              </w:rPr>
            </w:pPr>
            <w:r>
              <w:rPr>
                <w:rFonts w:hint="eastAsia" w:ascii="宋体" w:hAnsi="宋体" w:eastAsia="宋体"/>
                <w:b/>
                <w:szCs w:val="21"/>
                <w:lang w:val="en-US" w:eastAsia="zh-CN"/>
              </w:rPr>
              <w:t>30分</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平面图打样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70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设计方案，打样制作并现场提供样品得10分，否则不得分。</w:t>
            </w:r>
          </w:p>
        </w:tc>
        <w:tc>
          <w:tcPr>
            <w:tcW w:w="81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28" w:type="dxa"/>
            <w:vMerge w:val="continue"/>
            <w:vAlign w:val="center"/>
          </w:tcPr>
          <w:p>
            <w:pPr>
              <w:spacing w:line="360" w:lineRule="auto"/>
              <w:jc w:val="center"/>
              <w:rPr>
                <w:rFonts w:hint="eastAsia" w:ascii="宋体" w:hAnsi="宋体" w:eastAsia="宋体"/>
                <w:b/>
                <w:szCs w:val="21"/>
              </w:rPr>
            </w:pPr>
          </w:p>
        </w:tc>
        <w:tc>
          <w:tcPr>
            <w:tcW w:w="709" w:type="dxa"/>
            <w:vMerge w:val="continue"/>
            <w:vAlign w:val="center"/>
          </w:tcPr>
          <w:p>
            <w:pPr>
              <w:spacing w:line="360" w:lineRule="auto"/>
              <w:jc w:val="center"/>
              <w:rPr>
                <w:rFonts w:hint="eastAsia" w:ascii="宋体" w:hAnsi="宋体" w:eastAsia="宋体"/>
                <w:b/>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lang w:val="en-US" w:eastAsia="zh-CN"/>
              </w:rPr>
              <w:t>工</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期</w:t>
            </w:r>
            <w:r>
              <w:rPr>
                <w:rFonts w:hint="eastAsia" w:ascii="仿宋_GB2312" w:hAnsi="仿宋_GB2312" w:eastAsia="仿宋_GB2312" w:cs="仿宋_GB2312"/>
                <w:sz w:val="24"/>
                <w:szCs w:val="24"/>
                <w:lang w:eastAsia="zh-CN"/>
              </w:rPr>
              <w:t>承诺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15分</w:t>
            </w:r>
            <w:r>
              <w:rPr>
                <w:rFonts w:hint="eastAsia" w:ascii="仿宋_GB2312" w:hAnsi="仿宋_GB2312" w:eastAsia="仿宋_GB2312" w:cs="仿宋_GB2312"/>
                <w:sz w:val="24"/>
                <w:szCs w:val="24"/>
                <w:lang w:eastAsia="zh-CN"/>
              </w:rPr>
              <w:t>）</w:t>
            </w:r>
          </w:p>
        </w:tc>
        <w:tc>
          <w:tcPr>
            <w:tcW w:w="708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在规定交货期外，承诺能提前交货的，每提前1天得5分，最高不超过15分。</w:t>
            </w:r>
          </w:p>
        </w:tc>
        <w:tc>
          <w:tcPr>
            <w:tcW w:w="811"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28" w:type="dxa"/>
            <w:vMerge w:val="continue"/>
            <w:vAlign w:val="center"/>
          </w:tcPr>
          <w:p>
            <w:pPr>
              <w:spacing w:line="360" w:lineRule="auto"/>
              <w:jc w:val="center"/>
              <w:rPr>
                <w:rFonts w:hint="eastAsia" w:ascii="宋体" w:hAnsi="宋体" w:eastAsia="宋体"/>
                <w:b/>
                <w:szCs w:val="21"/>
              </w:rPr>
            </w:pPr>
          </w:p>
        </w:tc>
        <w:tc>
          <w:tcPr>
            <w:tcW w:w="709" w:type="dxa"/>
            <w:vMerge w:val="continue"/>
            <w:vAlign w:val="center"/>
          </w:tcPr>
          <w:p>
            <w:pPr>
              <w:spacing w:line="360" w:lineRule="auto"/>
              <w:jc w:val="center"/>
              <w:rPr>
                <w:rFonts w:hint="eastAsia" w:ascii="宋体" w:hAnsi="宋体" w:eastAsia="宋体"/>
                <w:b/>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诚信情况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sz w:val="24"/>
                <w:szCs w:val="24"/>
                <w:lang w:val="en-US" w:eastAsia="zh-CN"/>
              </w:rPr>
              <w:t>（5分）</w:t>
            </w:r>
          </w:p>
        </w:tc>
        <w:tc>
          <w:tcPr>
            <w:tcW w:w="7088" w:type="dxa"/>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w:t>
            </w:r>
            <w:r>
              <w:rPr>
                <w:rFonts w:hint="eastAsia" w:ascii="仿宋_GB2312" w:hAnsi="仿宋_GB2312" w:eastAsia="仿宋_GB2312" w:cs="仿宋_GB2312"/>
                <w:sz w:val="24"/>
                <w:szCs w:val="24"/>
                <w:lang w:val="en-US" w:eastAsia="zh-CN"/>
              </w:rPr>
              <w:t>5</w:t>
            </w:r>
            <w:bookmarkStart w:id="0" w:name="_GoBack"/>
            <w:bookmarkEnd w:id="0"/>
            <w:r>
              <w:rPr>
                <w:rFonts w:hint="eastAsia" w:ascii="仿宋_GB2312" w:hAnsi="仿宋_GB2312" w:eastAsia="仿宋_GB2312" w:cs="仿宋_GB2312"/>
                <w:sz w:val="24"/>
                <w:szCs w:val="24"/>
              </w:rPr>
              <w:t>分。（提供《诚信承诺函》，格式自拟）</w:t>
            </w:r>
          </w:p>
        </w:tc>
        <w:tc>
          <w:tcPr>
            <w:tcW w:w="811"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367" w:type="dxa"/>
            <w:gridSpan w:val="4"/>
            <w:vAlign w:val="center"/>
          </w:tcPr>
          <w:p>
            <w:pPr>
              <w:spacing w:line="320" w:lineRule="exact"/>
              <w:jc w:val="center"/>
              <w:rPr>
                <w:rFonts w:ascii="宋体" w:hAnsi="宋体" w:eastAsia="宋体" w:cs="华文仿宋"/>
                <w:b/>
                <w:szCs w:val="21"/>
              </w:rPr>
            </w:pPr>
            <w:r>
              <w:rPr>
                <w:rFonts w:hint="eastAsia" w:ascii="宋体" w:hAnsi="宋体" w:eastAsia="宋体" w:cs="宋体"/>
                <w:b/>
                <w:bCs/>
                <w:sz w:val="24"/>
                <w:szCs w:val="24"/>
              </w:rPr>
              <w:t>评标总得分 = A + B + C</w:t>
            </w:r>
          </w:p>
        </w:tc>
        <w:tc>
          <w:tcPr>
            <w:tcW w:w="811" w:type="dxa"/>
            <w:vAlign w:val="center"/>
          </w:tcPr>
          <w:p>
            <w:pPr>
              <w:spacing w:line="320" w:lineRule="exact"/>
              <w:jc w:val="center"/>
              <w:rPr>
                <w:rFonts w:ascii="宋体" w:hAnsi="宋体" w:eastAsia="宋体" w:cs="华文仿宋"/>
                <w:b/>
                <w:szCs w:val="21"/>
              </w:rPr>
            </w:pPr>
          </w:p>
        </w:tc>
      </w:tr>
    </w:tbl>
    <w:p>
      <w:pPr>
        <w:pStyle w:val="2"/>
        <w:rPr>
          <w:rFonts w:hint="eastAsia"/>
        </w:rPr>
      </w:pPr>
    </w:p>
    <w:p>
      <w:pPr>
        <w:spacing w:line="56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color w:val="000000"/>
          <w:sz w:val="32"/>
          <w:szCs w:val="32"/>
          <w:shd w:val="clear" w:color="auto" w:fill="FFFFFF"/>
        </w:rPr>
        <w:t>评标方法为综合评分法，具体评分标准和规则为：从</w:t>
      </w:r>
      <w:r>
        <w:rPr>
          <w:rFonts w:hint="eastAsia" w:ascii="仿宋_GB2312" w:hAnsi="仿宋_GB2312" w:eastAsia="仿宋_GB2312" w:cs="仿宋_GB2312"/>
          <w:color w:val="000000"/>
          <w:sz w:val="32"/>
          <w:szCs w:val="32"/>
          <w:shd w:val="clear" w:color="auto" w:fill="FFFFFF"/>
          <w:lang w:val="en-US" w:eastAsia="zh-CN"/>
        </w:rPr>
        <w:t>报价</w:t>
      </w:r>
      <w:r>
        <w:rPr>
          <w:rFonts w:hint="eastAsia" w:ascii="仿宋_GB2312" w:hAnsi="仿宋_GB2312" w:eastAsia="仿宋_GB2312" w:cs="仿宋_GB2312"/>
          <w:color w:val="000000"/>
          <w:sz w:val="32"/>
          <w:szCs w:val="32"/>
          <w:shd w:val="clear" w:color="auto" w:fill="FFFFFF"/>
        </w:rPr>
        <w:t>、技术和</w:t>
      </w:r>
      <w:r>
        <w:rPr>
          <w:rFonts w:hint="eastAsia" w:ascii="仿宋_GB2312" w:hAnsi="仿宋_GB2312" w:eastAsia="仿宋_GB2312" w:cs="仿宋_GB2312"/>
          <w:color w:val="000000"/>
          <w:sz w:val="32"/>
          <w:szCs w:val="32"/>
          <w:shd w:val="clear" w:color="auto" w:fill="FFFFFF"/>
          <w:lang w:val="en-US" w:eastAsia="zh-CN"/>
        </w:rPr>
        <w:t>商务</w:t>
      </w:r>
      <w:r>
        <w:rPr>
          <w:rFonts w:hint="eastAsia" w:ascii="仿宋_GB2312" w:hAnsi="仿宋_GB2312" w:eastAsia="仿宋_GB2312" w:cs="仿宋_GB2312"/>
          <w:color w:val="000000"/>
          <w:sz w:val="32"/>
          <w:szCs w:val="32"/>
          <w:shd w:val="clear" w:color="auto" w:fill="FFFFFF"/>
        </w:rPr>
        <w:t>三个部分评分因素由评标小组进行综合评分</w:t>
      </w:r>
      <w:r>
        <w:rPr>
          <w:rFonts w:hint="eastAsia" w:ascii="仿宋_GB2312" w:hAnsi="仿宋_GB2312" w:eastAsia="仿宋_GB2312" w:cs="仿宋_GB2312"/>
          <w:kern w:val="0"/>
          <w:sz w:val="32"/>
          <w:szCs w:val="32"/>
        </w:rPr>
        <w:t>。</w:t>
      </w:r>
    </w:p>
    <w:p>
      <w:pPr>
        <w:spacing w:line="570" w:lineRule="exact"/>
        <w:jc w:val="center"/>
        <w:rPr>
          <w:rFonts w:hint="eastAsia" w:ascii="方正小标宋简体" w:hAnsi="宋体" w:eastAsia="方正小标宋简体"/>
          <w:sz w:val="44"/>
          <w:szCs w:val="44"/>
        </w:rPr>
      </w:pP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704"/>
    <w:rsid w:val="00016A56"/>
    <w:rsid w:val="00022D3C"/>
    <w:rsid w:val="000311DA"/>
    <w:rsid w:val="00037064"/>
    <w:rsid w:val="00040724"/>
    <w:rsid w:val="00042C2F"/>
    <w:rsid w:val="00053F3C"/>
    <w:rsid w:val="000543CE"/>
    <w:rsid w:val="000606D7"/>
    <w:rsid w:val="00063585"/>
    <w:rsid w:val="000738FD"/>
    <w:rsid w:val="00076DF5"/>
    <w:rsid w:val="000A4144"/>
    <w:rsid w:val="000B3D47"/>
    <w:rsid w:val="000C03A1"/>
    <w:rsid w:val="000D573D"/>
    <w:rsid w:val="000E04CA"/>
    <w:rsid w:val="000E119C"/>
    <w:rsid w:val="000F1E4B"/>
    <w:rsid w:val="00110216"/>
    <w:rsid w:val="001141B1"/>
    <w:rsid w:val="00154DB6"/>
    <w:rsid w:val="0015681A"/>
    <w:rsid w:val="0017390E"/>
    <w:rsid w:val="001858A1"/>
    <w:rsid w:val="00193DCE"/>
    <w:rsid w:val="001F4819"/>
    <w:rsid w:val="00202EFC"/>
    <w:rsid w:val="0025091D"/>
    <w:rsid w:val="00285B14"/>
    <w:rsid w:val="002A2DB3"/>
    <w:rsid w:val="002C66A7"/>
    <w:rsid w:val="002D725E"/>
    <w:rsid w:val="002E204B"/>
    <w:rsid w:val="002F7A68"/>
    <w:rsid w:val="0034055D"/>
    <w:rsid w:val="00350810"/>
    <w:rsid w:val="003553F5"/>
    <w:rsid w:val="003571D4"/>
    <w:rsid w:val="0036538C"/>
    <w:rsid w:val="0036752B"/>
    <w:rsid w:val="003A4C1E"/>
    <w:rsid w:val="003D420E"/>
    <w:rsid w:val="003F2032"/>
    <w:rsid w:val="004038B3"/>
    <w:rsid w:val="00434EA4"/>
    <w:rsid w:val="00442555"/>
    <w:rsid w:val="00461A4C"/>
    <w:rsid w:val="00471B03"/>
    <w:rsid w:val="00473704"/>
    <w:rsid w:val="004807E1"/>
    <w:rsid w:val="004824DE"/>
    <w:rsid w:val="0049293E"/>
    <w:rsid w:val="004C1108"/>
    <w:rsid w:val="00507FD7"/>
    <w:rsid w:val="005207A4"/>
    <w:rsid w:val="0052331F"/>
    <w:rsid w:val="00535F0D"/>
    <w:rsid w:val="005447D3"/>
    <w:rsid w:val="00561ABB"/>
    <w:rsid w:val="0058691C"/>
    <w:rsid w:val="005D3D73"/>
    <w:rsid w:val="00646475"/>
    <w:rsid w:val="006737B5"/>
    <w:rsid w:val="00673E0A"/>
    <w:rsid w:val="00681196"/>
    <w:rsid w:val="00696A66"/>
    <w:rsid w:val="006C1D90"/>
    <w:rsid w:val="00722F12"/>
    <w:rsid w:val="00736785"/>
    <w:rsid w:val="0074192B"/>
    <w:rsid w:val="007A7736"/>
    <w:rsid w:val="007B5FA4"/>
    <w:rsid w:val="007C2043"/>
    <w:rsid w:val="007C3B91"/>
    <w:rsid w:val="007C42BF"/>
    <w:rsid w:val="007C787A"/>
    <w:rsid w:val="007E3F56"/>
    <w:rsid w:val="007E56C5"/>
    <w:rsid w:val="00802956"/>
    <w:rsid w:val="00846068"/>
    <w:rsid w:val="00846FE5"/>
    <w:rsid w:val="0085475A"/>
    <w:rsid w:val="00854C61"/>
    <w:rsid w:val="008577F7"/>
    <w:rsid w:val="00893B5C"/>
    <w:rsid w:val="008D720B"/>
    <w:rsid w:val="008F23EF"/>
    <w:rsid w:val="008F3803"/>
    <w:rsid w:val="0092083C"/>
    <w:rsid w:val="00954F88"/>
    <w:rsid w:val="00974CCD"/>
    <w:rsid w:val="00984DA0"/>
    <w:rsid w:val="00992617"/>
    <w:rsid w:val="009A6D9F"/>
    <w:rsid w:val="009C3265"/>
    <w:rsid w:val="00A07DB6"/>
    <w:rsid w:val="00A22AA4"/>
    <w:rsid w:val="00A42F26"/>
    <w:rsid w:val="00A4564F"/>
    <w:rsid w:val="00A55D51"/>
    <w:rsid w:val="00A95032"/>
    <w:rsid w:val="00AB0D89"/>
    <w:rsid w:val="00AD080A"/>
    <w:rsid w:val="00AD0BB5"/>
    <w:rsid w:val="00AD3A04"/>
    <w:rsid w:val="00AD58F2"/>
    <w:rsid w:val="00AD7A41"/>
    <w:rsid w:val="00B0366B"/>
    <w:rsid w:val="00B2742C"/>
    <w:rsid w:val="00B32FD1"/>
    <w:rsid w:val="00B71D2C"/>
    <w:rsid w:val="00B74C25"/>
    <w:rsid w:val="00B7793C"/>
    <w:rsid w:val="00BA4338"/>
    <w:rsid w:val="00BB51B3"/>
    <w:rsid w:val="00BD528A"/>
    <w:rsid w:val="00C11136"/>
    <w:rsid w:val="00C33BA0"/>
    <w:rsid w:val="00C43305"/>
    <w:rsid w:val="00C570FB"/>
    <w:rsid w:val="00C66043"/>
    <w:rsid w:val="00C70F69"/>
    <w:rsid w:val="00C830C7"/>
    <w:rsid w:val="00CD115E"/>
    <w:rsid w:val="00CD1D6B"/>
    <w:rsid w:val="00CE45DA"/>
    <w:rsid w:val="00CF752F"/>
    <w:rsid w:val="00D01571"/>
    <w:rsid w:val="00D043EE"/>
    <w:rsid w:val="00D04DBA"/>
    <w:rsid w:val="00D15286"/>
    <w:rsid w:val="00D34F6C"/>
    <w:rsid w:val="00D6055D"/>
    <w:rsid w:val="00DC3FC4"/>
    <w:rsid w:val="00DE12F0"/>
    <w:rsid w:val="00DE294F"/>
    <w:rsid w:val="00DE49E2"/>
    <w:rsid w:val="00DF5983"/>
    <w:rsid w:val="00DF5F4B"/>
    <w:rsid w:val="00E014D1"/>
    <w:rsid w:val="00E0162E"/>
    <w:rsid w:val="00E22031"/>
    <w:rsid w:val="00E27C23"/>
    <w:rsid w:val="00E308B1"/>
    <w:rsid w:val="00E33D57"/>
    <w:rsid w:val="00E4569F"/>
    <w:rsid w:val="00E60905"/>
    <w:rsid w:val="00E86298"/>
    <w:rsid w:val="00E8696E"/>
    <w:rsid w:val="00E874B0"/>
    <w:rsid w:val="00ED3BBD"/>
    <w:rsid w:val="00EE79F1"/>
    <w:rsid w:val="00F02B6C"/>
    <w:rsid w:val="00F135E1"/>
    <w:rsid w:val="00F23399"/>
    <w:rsid w:val="00F23B9E"/>
    <w:rsid w:val="00F51650"/>
    <w:rsid w:val="00F5548D"/>
    <w:rsid w:val="00F63165"/>
    <w:rsid w:val="00F75C06"/>
    <w:rsid w:val="00F83B04"/>
    <w:rsid w:val="00F94B05"/>
    <w:rsid w:val="00FA5F7A"/>
    <w:rsid w:val="00FB19B7"/>
    <w:rsid w:val="00FB21B8"/>
    <w:rsid w:val="00FC10CC"/>
    <w:rsid w:val="00FC28A9"/>
    <w:rsid w:val="0F8C3F8F"/>
    <w:rsid w:val="1E636D77"/>
    <w:rsid w:val="2D573795"/>
    <w:rsid w:val="2DED4CE8"/>
    <w:rsid w:val="33205E3E"/>
    <w:rsid w:val="3BE5771A"/>
    <w:rsid w:val="415C6DC0"/>
    <w:rsid w:val="44CC2EB8"/>
    <w:rsid w:val="472E59D4"/>
    <w:rsid w:val="4B1654F5"/>
    <w:rsid w:val="4BC613F3"/>
    <w:rsid w:val="55FC5860"/>
    <w:rsid w:val="58346BBC"/>
    <w:rsid w:val="642F67A5"/>
    <w:rsid w:val="75B66744"/>
    <w:rsid w:val="7EAC5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0E55E-E6FA-43C1-A579-140EC80446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Words>
  <Characters>467</Characters>
  <Lines>3</Lines>
  <Paragraphs>1</Paragraphs>
  <TotalTime>14</TotalTime>
  <ScaleCrop>false</ScaleCrop>
  <LinksUpToDate>false</LinksUpToDate>
  <CharactersWithSpaces>547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2020-07-27T14:12:00Z</dcterms:created>
  <dc:creator>吴 洪亮</dc:creator>
  <cp:lastModifiedBy>周瑞</cp:lastModifiedBy>
  <cp:lastPrinted>2019-06-26T09:39:00Z</cp:lastPrinted>
  <dcterms:modified xsi:type="dcterms:W3CDTF">2020-07-29T10:20:21Z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