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156" w:beforeLines="50" w:after="312" w:afterLines="100" w:line="580" w:lineRule="exact"/>
        <w:jc w:val="center"/>
        <w:rPr>
          <w:rFonts w:ascii="方正小标宋简体" w:hAnsi="微软雅黑" w:eastAsia="方正小标宋简体"/>
          <w:color w:val="040404"/>
          <w:sz w:val="44"/>
          <w:szCs w:val="32"/>
        </w:rPr>
      </w:pPr>
      <w:r>
        <w:rPr>
          <w:rFonts w:hint="eastAsia" w:ascii="方正小标宋简体" w:hAnsi="微软雅黑" w:eastAsia="方正小标宋简体"/>
          <w:color w:val="040404"/>
          <w:sz w:val="44"/>
          <w:szCs w:val="32"/>
        </w:rPr>
        <w:t>《深圳市应急避难场所管理办法（征求意见稿）》征求公众意见</w:t>
      </w:r>
      <w:r>
        <w:rPr>
          <w:rFonts w:ascii="方正小标宋简体" w:hAnsi="微软雅黑" w:eastAsia="方正小标宋简体"/>
          <w:color w:val="040404"/>
          <w:sz w:val="44"/>
          <w:szCs w:val="32"/>
        </w:rPr>
        <w:br w:type="textWrapping"/>
      </w:r>
      <w:r>
        <w:rPr>
          <w:rFonts w:hint="eastAsia" w:ascii="方正小标宋简体" w:hAnsi="微软雅黑" w:eastAsia="方正小标宋简体"/>
          <w:color w:val="040404"/>
          <w:sz w:val="44"/>
          <w:szCs w:val="32"/>
        </w:rPr>
        <w:t>及采纳情况表</w:t>
      </w:r>
    </w:p>
    <w:tbl>
      <w:tblPr>
        <w:tblStyle w:val="4"/>
        <w:tblW w:w="140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900"/>
        <w:gridCol w:w="1371"/>
        <w:gridCol w:w="7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tblHeader/>
          <w:jc w:val="center"/>
        </w:trPr>
        <w:tc>
          <w:tcPr>
            <w:tcW w:w="776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900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反馈意见情况</w:t>
            </w:r>
          </w:p>
        </w:tc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采纳情况</w:t>
            </w:r>
          </w:p>
        </w:tc>
        <w:tc>
          <w:tcPr>
            <w:tcW w:w="7044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77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900" w:type="dxa"/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缺少一条谁负责应急避难场所的规范、标准制定以及研究更新等等。</w:t>
            </w:r>
          </w:p>
        </w:tc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未采纳</w:t>
            </w:r>
          </w:p>
        </w:tc>
        <w:tc>
          <w:tcPr>
            <w:tcW w:w="7044" w:type="dxa"/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办法第二十一条已明确，由各区政府、市政府有关部门制定本辖区、本行业、本领域应急避难场所管理实施细则，细化相关规范要求。</w:t>
            </w:r>
            <w:r>
              <w:rPr>
                <w:rFonts w:ascii="仿宋_GB2312" w:eastAsia="仿宋_GB2312"/>
                <w:sz w:val="28"/>
                <w:szCs w:val="28"/>
              </w:rPr>
              <w:t>因此本意见无需采纳修改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7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900" w:type="dxa"/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建议进一步丰富避难场所信息公布手段，方便社会公众快速查询抵达。</w:t>
            </w:r>
          </w:p>
        </w:tc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已</w:t>
            </w:r>
            <w:r>
              <w:rPr>
                <w:rFonts w:ascii="仿宋_GB2312" w:eastAsia="仿宋_GB2312"/>
                <w:sz w:val="28"/>
                <w:szCs w:val="28"/>
              </w:rPr>
              <w:t>采纳</w:t>
            </w:r>
          </w:p>
        </w:tc>
        <w:tc>
          <w:tcPr>
            <w:tcW w:w="7044" w:type="dxa"/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办法第十二条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第二十条已明确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由各区政府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市政府有关部门定期向社会公布应急避难场所信息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，区政府</w:t>
            </w:r>
            <w:r>
              <w:rPr>
                <w:rFonts w:ascii="仿宋_GB2312" w:eastAsia="仿宋_GB2312"/>
                <w:sz w:val="28"/>
                <w:szCs w:val="28"/>
              </w:rPr>
              <w:t>通过适当方式向公众及时发布应急避难场所启用和关闭公告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。同时，2019年8月，市应急管理局已在微信公众号“应急避险”栏目和腾讯地图APP、“腾讯地图额+”小程序上线了深圳市室内应急避难场所查询导航功能。</w:t>
            </w:r>
            <w:r>
              <w:rPr>
                <w:rFonts w:ascii="仿宋_GB2312" w:eastAsia="仿宋_GB2312"/>
                <w:sz w:val="28"/>
                <w:szCs w:val="28"/>
              </w:rPr>
              <w:t>因此本意见无需采纳修改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</w:tbl>
    <w:p>
      <w:pPr>
        <w:ind w:firstLine="0" w:firstLineChars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E1416"/>
    <w:rsid w:val="041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2019-09-11T01:42:00Z</dcterms:created>
  <dc:creator>ys3</dc:creator>
  <cp:lastModifiedBy>ys3</cp:lastModifiedBy>
  <dcterms:modified xsi:type="dcterms:W3CDTF">2019-09-11T01:42:47Z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