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F1" w:rsidRPr="00BB2FF1" w:rsidRDefault="00BB2FF1" w:rsidP="005B2223">
      <w:pPr>
        <w:pStyle w:val="a6"/>
        <w:rPr>
          <w:kern w:val="0"/>
        </w:rPr>
      </w:pPr>
      <w:r w:rsidRPr="00BB2FF1">
        <w:rPr>
          <w:kern w:val="0"/>
        </w:rPr>
        <w:t>金融办机动车辆和驾驶员管理办法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 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为了进一步加强机动车辆和驾驶员的管理，保证机动车辆安全运行和合理使用，强化劳动纪律，切实做好交通服务工作，特制定以下机动车辆及驾驶员管理办法。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一、车辆管理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（一）综合处负责车辆日常管理工作，其管理包括司机的考勤、工作安排、违纪登记处理、车辆调度、车辆配备、车辆维修保养以及政治业务学习等。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（二）车辆管理设兼职质检员和安全员。质检员负责机动车辆的技术检查、报修技术鉴定和报修意见，年审和各种证件的办理。安全员负责交通安全、交通违章、交通事故的处理等工作。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（三）我办的机动车辆统一由综合处管理。调配给各处室的车辆为业务用车，原则上由各处室支配使用，如工作需要，综合处可调用各处室的车辆，各处室应当服从安排。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（四）为保障业务用车，各处室应饱满安排使用配备给本处室的车辆，确因特殊情况需要另外派车时，须提前半天报用车申请单，向综合处申请用车，综合处根据实际情况派车。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（五）调配给各处室使用的业务用车，在本市区域内行驶，由各处室安排。超出本市区范围的，必须填报用车申请单，经综合处同意后才能出车，否则，由此而造成的一切责任和费用由用车人和驾驶员负责。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（六）车辆过夜必须停放在大型住宅区停车场或有专人管理</w:t>
      </w:r>
      <w:r w:rsidRPr="00BB2FF1">
        <w:rPr>
          <w:kern w:val="0"/>
        </w:rPr>
        <w:lastRenderedPageBreak/>
        <w:t>的停车场，确保车辆的安全。为了降低停车费用，车辆停放不准租用固定停车位。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（七）上班时间，所有车辆必须停在办公大厦停车场。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（八）机动车辆停车费采用</w:t>
      </w:r>
      <w:r w:rsidRPr="00BB2FF1">
        <w:rPr>
          <w:kern w:val="0"/>
        </w:rPr>
        <w:t>“</w:t>
      </w:r>
      <w:r w:rsidRPr="00BB2FF1">
        <w:rPr>
          <w:kern w:val="0"/>
        </w:rPr>
        <w:t>定额管理、低于定额实报实销，起过定额驾驶员本人自负</w:t>
      </w:r>
      <w:r w:rsidRPr="00BB2FF1">
        <w:rPr>
          <w:kern w:val="0"/>
        </w:rPr>
        <w:t>”</w:t>
      </w:r>
      <w:r w:rsidRPr="00BB2FF1">
        <w:rPr>
          <w:kern w:val="0"/>
        </w:rPr>
        <w:t>的办法。过夜停车费实报实销，白天停车费每月每车控制在200元以内。公务出车停车费实报实销。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（九）严禁公车私用，不准用公车专门接送亲属上下班或者办理其他私事，确因特殊情况私人用车，需经综合处同意方可出车，并按规定收回油费。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三、车辆保养、维修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（一）综合处车辆管理员建立车辆修理档案，掌握车辆维修保养情况。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（二）机动车辆维修采用</w:t>
      </w:r>
      <w:r w:rsidRPr="00BB2FF1">
        <w:rPr>
          <w:kern w:val="0"/>
        </w:rPr>
        <w:t>“</w:t>
      </w:r>
      <w:r w:rsidRPr="00BB2FF1">
        <w:rPr>
          <w:kern w:val="0"/>
        </w:rPr>
        <w:t>定点维修、专人质检、专人审核、专人送厂、专人结帐、专人复核</w:t>
      </w:r>
      <w:r w:rsidRPr="00BB2FF1">
        <w:rPr>
          <w:kern w:val="0"/>
        </w:rPr>
        <w:t>”</w:t>
      </w:r>
      <w:r w:rsidRPr="00BB2FF1">
        <w:rPr>
          <w:kern w:val="0"/>
        </w:rPr>
        <w:t>的办法，加强车辆的维修管理。要严格执行车辆维修程序，即凡需要维修的车辆，需由各处室提出申请，质检员进行车辆维修鉴定，提出维修意见，报综合处车辆管理员审核，综合处处长审批后，方可维修。车辆大修必须先报办领导审批。车辆维修时，由质检员和各处室人员一起送厂。各处室擅自决定维修或超过审批范围的，一切费用由决定者本人负担。车辆维修后，由质检员和各处室车辆驾驶员负责验收。维修费用由专人结帐，并接受综合处复核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（三）车辆维修费每季度张榜公布。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lastRenderedPageBreak/>
        <w:t>四、车辆用油管理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（一）机动车辆用油管理采用</w:t>
      </w:r>
      <w:r w:rsidRPr="00BB2FF1">
        <w:rPr>
          <w:kern w:val="0"/>
        </w:rPr>
        <w:t>“</w:t>
      </w:r>
      <w:r w:rsidRPr="00BB2FF1">
        <w:rPr>
          <w:kern w:val="0"/>
        </w:rPr>
        <w:t>定额管理、超定额自负</w:t>
      </w:r>
      <w:r w:rsidRPr="00BB2FF1">
        <w:rPr>
          <w:kern w:val="0"/>
        </w:rPr>
        <w:t>”</w:t>
      </w:r>
      <w:r w:rsidRPr="00BB2FF1">
        <w:rPr>
          <w:kern w:val="0"/>
        </w:rPr>
        <w:t>的办法，控制机动车辆用油。各车辆每月用油定额：小汽车为290公升。各类车辆用油使用油票，每月25日到综合处车辆管理员处领取下月油票。车辆用油定额管理后，各处不得以此为理由影响公务用车，否则按违纪处理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（二）根据出车卡记载，确因业务量大，出车较多，可适当增加油料。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（三）油料消耗情况每月公布一次。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五、本办法由综合处负责解释。</w:t>
      </w:r>
    </w:p>
    <w:p w:rsidR="00BB2FF1" w:rsidRPr="00BB2FF1" w:rsidRDefault="00BB2FF1" w:rsidP="00B72675">
      <w:pPr>
        <w:pStyle w:val="a7"/>
        <w:rPr>
          <w:kern w:val="0"/>
        </w:rPr>
      </w:pPr>
      <w:r w:rsidRPr="00BB2FF1">
        <w:rPr>
          <w:kern w:val="0"/>
        </w:rPr>
        <w:t>六、本办法自印发之日起执行。</w:t>
      </w:r>
    </w:p>
    <w:p w:rsidR="00767B2D" w:rsidRPr="00BB2FF1" w:rsidRDefault="00767B2D" w:rsidP="00B72675">
      <w:pPr>
        <w:pStyle w:val="a7"/>
      </w:pPr>
    </w:p>
    <w:sectPr w:rsidR="00767B2D" w:rsidRPr="00BB2FF1" w:rsidSect="00E4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0D" w:rsidRDefault="0090730D" w:rsidP="00BB2FF1">
      <w:r>
        <w:separator/>
      </w:r>
    </w:p>
  </w:endnote>
  <w:endnote w:type="continuationSeparator" w:id="1">
    <w:p w:rsidR="0090730D" w:rsidRDefault="0090730D" w:rsidP="00BB2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0D" w:rsidRDefault="0090730D" w:rsidP="00BB2FF1">
      <w:r>
        <w:separator/>
      </w:r>
    </w:p>
  </w:footnote>
  <w:footnote w:type="continuationSeparator" w:id="1">
    <w:p w:rsidR="0090730D" w:rsidRDefault="0090730D" w:rsidP="00BB2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FF1"/>
    <w:rsid w:val="005B2223"/>
    <w:rsid w:val="00767B2D"/>
    <w:rsid w:val="0090730D"/>
    <w:rsid w:val="00B72675"/>
    <w:rsid w:val="00BB2FF1"/>
    <w:rsid w:val="00E4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2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F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72675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72675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B72675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B72675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B72675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B72675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B72675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B72675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B72675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B72675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B72675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B72675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8176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2012-09-04T09:12:00Z</dcterms:created>
  <dcterms:modified xsi:type="dcterms:W3CDTF">2012-09-04T09:21:00Z</dcterms:modified>
</cp:coreProperties>
</file>