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21" w:rsidRPr="003F0021" w:rsidRDefault="003F0021" w:rsidP="008D5F5D">
      <w:pPr>
        <w:pStyle w:val="a6"/>
        <w:rPr>
          <w:kern w:val="0"/>
        </w:rPr>
      </w:pPr>
      <w:r w:rsidRPr="003F0021">
        <w:rPr>
          <w:kern w:val="0"/>
        </w:rPr>
        <w:t>金融办固定资产购置管理办法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 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为加强固定资产管理，增加固定资产购置的透明度，合理地统筹和运用资金，提高固定资产的使用价值和使用效率，现就我办固定资产管理规定如下办法：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一、固定资产的范围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本办法所称固定资产是指使用一年以上，单位价值在规定起点以上，并在使用过程中保留其实物形态的物质资料。具体范围如下：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(一)</w:t>
      </w:r>
      <w:r w:rsidRPr="003F0021">
        <w:rPr>
          <w:kern w:val="0"/>
        </w:rPr>
        <w:t>   </w:t>
      </w:r>
      <w:r w:rsidRPr="003F0021">
        <w:rPr>
          <w:kern w:val="0"/>
        </w:rPr>
        <w:t xml:space="preserve"> 单价在2000元以上，耐用时间在一年以上的物品。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（二）单价不足2000元的大批量同类物品（如办公家私、办公用品、印刷品等）。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二、固定资产的购置原则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集价格、质量、信誉、服务等多项指标进行招标，货比三家，择优确定。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三、固定资产的购置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(一)凡购置固定资产的部门或个人，须根据工作的实际需要，并填制《固定资产购置申请表》交综合处，由综合处按经费的审批权限，报请有关领导审批后，统一购置。使用部门或个人不得自行购置或印刷。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(二)技术性能强（如计算机系统设备）的固定资产的购置，由具体负责技术管理的部门拟定计划，提供三家以上对口厂商的市场报价单，经综合处有关人员协商，结合价格、质量、售后服务等方面要求，实行公开招标，货比三家，共同审定</w:t>
      </w:r>
      <w:r w:rsidRPr="003F0021">
        <w:rPr>
          <w:kern w:val="0"/>
        </w:rPr>
        <w:lastRenderedPageBreak/>
        <w:t>后，报相关领导审批。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(三)凡购置或印刷日常使用的业务表格、资料、办公用品（含文具），须根据固定资产的购置原则，由综合处审定。须两人以上参加购置，并要有专人负责验收。办公用品一般每月购买一次；业务表格、资料、书刊及杂志等印刷品的数量，根据使用部门的实际需要确定。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(四)购置固定资产不按上述要求办理的部门或个人，按擅自购置固定资产处理，不予审批及报销有关费用，所造成的经济损失由经办部门或个人自负。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四、固定资产管理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固定资产统归综合处管理、调配使用，根据各部门及个人的工作需要予以配备，由综合处负责具体落实。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(一)固定资产购置报销凭证必须是税务机关统一印制的发票，报销凭证在经管理人员验收、登记签字后，按审批报销的程序办理报帐手续。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(二)建立固定资产登记帐册，由专人负责管理、登记、核实，并建立出入库登记。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(三)固定资产每年由综合处、金融处共同负责清查一次，如遇特殊情况随时检查，确保帐物相符。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五、固定资产报废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固定资产在使用过程中，由于意外损坏或正常损耗，失去其使用功能或达不到其使用目的，可以申请报废。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固定资产申请报废，须由使用部门根据实际情况写出报废报告，并填写《固定资产报废申请表》，送综合处审核，由综</w:t>
      </w:r>
      <w:r w:rsidRPr="003F0021">
        <w:rPr>
          <w:kern w:val="0"/>
        </w:rPr>
        <w:lastRenderedPageBreak/>
        <w:t>合处处长提出报废建议，经主管办领导同意后，报办党组会审定。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六、本制度由综合处负责解释。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七、本制度自印发之日起执行。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附： 1、固定资产购置申请表</w:t>
      </w:r>
    </w:p>
    <w:p w:rsid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    </w:t>
      </w:r>
      <w:r>
        <w:rPr>
          <w:rFonts w:hint="eastAsia"/>
          <w:kern w:val="0"/>
        </w:rPr>
        <w:t xml:space="preserve">  </w:t>
      </w:r>
      <w:r w:rsidRPr="003F0021">
        <w:rPr>
          <w:kern w:val="0"/>
        </w:rPr>
        <w:t xml:space="preserve"> 2、固定资产报废申请表</w:t>
      </w:r>
    </w:p>
    <w:p w:rsidR="003F0021" w:rsidRDefault="003F0021" w:rsidP="004C59B9">
      <w:pPr>
        <w:pStyle w:val="a7"/>
        <w:rPr>
          <w:kern w:val="0"/>
        </w:rPr>
      </w:pPr>
      <w:r>
        <w:rPr>
          <w:kern w:val="0"/>
        </w:rPr>
        <w:br w:type="page"/>
      </w:r>
    </w:p>
    <w:p w:rsidR="003F0021" w:rsidRPr="003F0021" w:rsidRDefault="003F0021" w:rsidP="004C59B9">
      <w:pPr>
        <w:pStyle w:val="a7"/>
        <w:rPr>
          <w:kern w:val="0"/>
        </w:rPr>
      </w:pP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固定资产购置申请表</w:t>
      </w:r>
    </w:p>
    <w:p w:rsidR="003F0021" w:rsidRPr="003F0021" w:rsidRDefault="003F0021" w:rsidP="00AF5640">
      <w:pPr>
        <w:pStyle w:val="a7"/>
        <w:jc w:val="right"/>
        <w:rPr>
          <w:kern w:val="0"/>
        </w:rPr>
      </w:pPr>
      <w:r w:rsidRPr="003F0021">
        <w:rPr>
          <w:kern w:val="0"/>
        </w:rPr>
        <w:t>年</w:t>
      </w:r>
      <w:r w:rsidRPr="003F0021">
        <w:rPr>
          <w:kern w:val="0"/>
        </w:rPr>
        <w:t> </w:t>
      </w:r>
      <w:r w:rsidRPr="003F0021">
        <w:rPr>
          <w:kern w:val="0"/>
        </w:rPr>
        <w:t xml:space="preserve"> 月</w:t>
      </w:r>
      <w:r w:rsidRPr="003F0021">
        <w:rPr>
          <w:kern w:val="0"/>
        </w:rPr>
        <w:t> </w:t>
      </w:r>
      <w:r w:rsidRPr="003F0021">
        <w:rPr>
          <w:kern w:val="0"/>
        </w:rPr>
        <w:t xml:space="preserve"> 日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0"/>
        <w:gridCol w:w="1429"/>
        <w:gridCol w:w="895"/>
        <w:gridCol w:w="893"/>
        <w:gridCol w:w="717"/>
        <w:gridCol w:w="893"/>
        <w:gridCol w:w="90"/>
        <w:gridCol w:w="627"/>
        <w:gridCol w:w="1072"/>
      </w:tblGrid>
      <w:tr w:rsidR="003F0021" w:rsidRPr="003F0021" w:rsidTr="003F0021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申请单位</w:t>
            </w:r>
          </w:p>
          <w:p w:rsidR="003F0021" w:rsidRPr="006E54E9" w:rsidRDefault="003F0021" w:rsidP="006E54E9">
            <w:pPr>
              <w:pStyle w:val="a7"/>
            </w:pPr>
            <w:r w:rsidRPr="006E54E9">
              <w:t>或个人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经办人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</w:tr>
      <w:tr w:rsidR="003F0021" w:rsidRPr="003F0021" w:rsidTr="003F0021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申请购置</w:t>
            </w:r>
          </w:p>
          <w:p w:rsidR="003F0021" w:rsidRPr="006E54E9" w:rsidRDefault="003F0021" w:rsidP="006E54E9">
            <w:pPr>
              <w:pStyle w:val="a7"/>
            </w:pPr>
            <w:r w:rsidRPr="006E54E9">
              <w:t>物品名称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规</w:t>
            </w:r>
          </w:p>
          <w:p w:rsidR="003F0021" w:rsidRPr="006E54E9" w:rsidRDefault="003F0021" w:rsidP="006E54E9">
            <w:pPr>
              <w:pStyle w:val="a7"/>
            </w:pPr>
            <w:r w:rsidRPr="006E54E9">
              <w:t>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数</w:t>
            </w:r>
          </w:p>
          <w:p w:rsidR="003F0021" w:rsidRPr="006E54E9" w:rsidRDefault="003F0021" w:rsidP="006E54E9">
            <w:pPr>
              <w:pStyle w:val="a7"/>
            </w:pPr>
            <w:r w:rsidRPr="006E54E9">
              <w:t>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金额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</w:tr>
      <w:tr w:rsidR="003F0021" w:rsidRPr="003F0021" w:rsidTr="003F00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</w:tr>
      <w:tr w:rsidR="003F0021" w:rsidRPr="003F0021" w:rsidTr="003F00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</w:tr>
      <w:tr w:rsidR="003F0021" w:rsidRPr="003F0021" w:rsidTr="003F0021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申请购置</w:t>
            </w:r>
          </w:p>
          <w:p w:rsidR="003F0021" w:rsidRPr="006E54E9" w:rsidRDefault="003F0021" w:rsidP="006E54E9">
            <w:pPr>
              <w:pStyle w:val="a7"/>
            </w:pPr>
            <w:r w:rsidRPr="006E54E9">
              <w:t>理</w:t>
            </w:r>
            <w:r w:rsidRPr="006E54E9">
              <w:t>   </w:t>
            </w:r>
            <w:r w:rsidRPr="006E54E9">
              <w:t xml:space="preserve"> 由</w:t>
            </w:r>
          </w:p>
        </w:tc>
        <w:tc>
          <w:tcPr>
            <w:tcW w:w="66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</w:tr>
      <w:tr w:rsidR="003F0021" w:rsidRPr="003F0021" w:rsidTr="003F0021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申请部门意</w:t>
            </w:r>
            <w:r w:rsidRPr="006E54E9">
              <w:t>  </w:t>
            </w:r>
            <w:r w:rsidRPr="006E54E9">
              <w:t xml:space="preserve"> 见</w:t>
            </w:r>
          </w:p>
        </w:tc>
        <w:tc>
          <w:tcPr>
            <w:tcW w:w="66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</w:tr>
      <w:tr w:rsidR="003F0021" w:rsidRPr="003F0021" w:rsidTr="003F0021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综合处意见</w:t>
            </w:r>
          </w:p>
        </w:tc>
        <w:tc>
          <w:tcPr>
            <w:tcW w:w="66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</w:tr>
      <w:tr w:rsidR="003F0021" w:rsidRPr="003F0021" w:rsidTr="003F0021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分管办领导意见</w:t>
            </w:r>
          </w:p>
        </w:tc>
        <w:tc>
          <w:tcPr>
            <w:tcW w:w="66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</w:tr>
      <w:tr w:rsidR="003F0021" w:rsidRPr="003F0021" w:rsidTr="003F0021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主任意见</w:t>
            </w:r>
          </w:p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  <w:tc>
          <w:tcPr>
            <w:tcW w:w="66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6E54E9" w:rsidRDefault="003F0021" w:rsidP="006E54E9">
            <w:pPr>
              <w:pStyle w:val="a7"/>
            </w:pPr>
            <w:r w:rsidRPr="006E54E9">
              <w:t> </w:t>
            </w:r>
          </w:p>
        </w:tc>
      </w:tr>
      <w:tr w:rsidR="003F0021" w:rsidRPr="003F0021" w:rsidTr="003F0021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3F0021" w:rsidRDefault="003F0021" w:rsidP="004C59B9">
            <w:pPr>
              <w:pStyle w:val="a7"/>
              <w:rPr>
                <w:kern w:val="0"/>
                <w:sz w:val="1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3F0021" w:rsidRDefault="003F0021" w:rsidP="004C59B9">
            <w:pPr>
              <w:pStyle w:val="a7"/>
              <w:rPr>
                <w:kern w:val="0"/>
                <w:sz w:val="1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3F0021" w:rsidRDefault="003F0021" w:rsidP="004C59B9">
            <w:pPr>
              <w:pStyle w:val="a7"/>
              <w:rPr>
                <w:kern w:val="0"/>
                <w:sz w:val="1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3F0021" w:rsidRDefault="003F0021" w:rsidP="004C59B9">
            <w:pPr>
              <w:pStyle w:val="a7"/>
              <w:rPr>
                <w:kern w:val="0"/>
                <w:sz w:val="1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3F0021" w:rsidRDefault="003F0021" w:rsidP="004C59B9">
            <w:pPr>
              <w:pStyle w:val="a7"/>
              <w:rPr>
                <w:kern w:val="0"/>
                <w:sz w:val="1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3F0021" w:rsidRDefault="003F0021" w:rsidP="004C59B9">
            <w:pPr>
              <w:pStyle w:val="a7"/>
              <w:rPr>
                <w:kern w:val="0"/>
                <w:sz w:val="1"/>
                <w:szCs w:val="18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3F0021" w:rsidRDefault="003F0021" w:rsidP="004C59B9">
            <w:pPr>
              <w:pStyle w:val="a7"/>
              <w:rPr>
                <w:kern w:val="0"/>
                <w:sz w:val="1"/>
                <w:szCs w:val="18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3F0021" w:rsidRDefault="003F0021" w:rsidP="004C59B9">
            <w:pPr>
              <w:pStyle w:val="a7"/>
              <w:rPr>
                <w:kern w:val="0"/>
                <w:sz w:val="1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3F0021" w:rsidRDefault="003F0021" w:rsidP="004C59B9">
            <w:pPr>
              <w:pStyle w:val="a7"/>
              <w:rPr>
                <w:kern w:val="0"/>
                <w:sz w:val="1"/>
                <w:szCs w:val="18"/>
              </w:rPr>
            </w:pPr>
          </w:p>
        </w:tc>
      </w:tr>
    </w:tbl>
    <w:p w:rsidR="003F0021" w:rsidRDefault="003F0021" w:rsidP="004C59B9">
      <w:pPr>
        <w:pStyle w:val="a7"/>
      </w:pPr>
    </w:p>
    <w:p w:rsidR="003F0021" w:rsidRDefault="003F0021" w:rsidP="004C59B9">
      <w:pPr>
        <w:pStyle w:val="a7"/>
      </w:pPr>
      <w:r>
        <w:br w:type="page"/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lastRenderedPageBreak/>
        <w:t>固定资产报废申请表</w:t>
      </w:r>
    </w:p>
    <w:p w:rsidR="003F0021" w:rsidRPr="003F0021" w:rsidRDefault="003F0021" w:rsidP="00AF5640">
      <w:pPr>
        <w:pStyle w:val="a7"/>
        <w:jc w:val="right"/>
        <w:rPr>
          <w:kern w:val="0"/>
        </w:rPr>
      </w:pPr>
      <w:r w:rsidRPr="003F0021">
        <w:rPr>
          <w:kern w:val="0"/>
        </w:rPr>
        <w:t>年</w:t>
      </w:r>
      <w:r w:rsidRPr="003F0021">
        <w:rPr>
          <w:kern w:val="0"/>
        </w:rPr>
        <w:t> </w:t>
      </w:r>
      <w:r w:rsidRPr="003F0021">
        <w:rPr>
          <w:kern w:val="0"/>
        </w:rPr>
        <w:t xml:space="preserve"> 月</w:t>
      </w:r>
      <w:r w:rsidRPr="003F0021">
        <w:rPr>
          <w:kern w:val="0"/>
        </w:rPr>
        <w:t> </w:t>
      </w:r>
      <w:r w:rsidRPr="003F0021">
        <w:rPr>
          <w:kern w:val="0"/>
        </w:rPr>
        <w:t xml:space="preserve"> 日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6"/>
        <w:gridCol w:w="1554"/>
        <w:gridCol w:w="807"/>
        <w:gridCol w:w="956"/>
        <w:gridCol w:w="807"/>
        <w:gridCol w:w="1105"/>
        <w:gridCol w:w="2301"/>
      </w:tblGrid>
      <w:tr w:rsidR="003F0021" w:rsidRPr="003F0021" w:rsidTr="003F0021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编号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财产名称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单位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单价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数量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金额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报废原因</w:t>
            </w:r>
          </w:p>
        </w:tc>
      </w:tr>
      <w:tr w:rsidR="003F0021" w:rsidRPr="003F0021" w:rsidTr="003F0021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</w:tr>
      <w:tr w:rsidR="003F0021" w:rsidRPr="003F0021" w:rsidTr="003F0021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</w:p>
        </w:tc>
      </w:tr>
      <w:tr w:rsidR="003F0021" w:rsidRPr="003F0021" w:rsidTr="003F0021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批准文件及字号</w:t>
            </w:r>
          </w:p>
        </w:tc>
      </w:tr>
      <w:tr w:rsidR="003F0021" w:rsidRPr="003F0021" w:rsidTr="003F0021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CA6557" w:rsidRDefault="003F0021" w:rsidP="00CA6557">
            <w:pPr>
              <w:pStyle w:val="a7"/>
            </w:pPr>
            <w:r w:rsidRPr="00CA6557">
              <w:t> </w:t>
            </w:r>
          </w:p>
        </w:tc>
      </w:tr>
      <w:tr w:rsidR="003F0021" w:rsidRPr="003F0021" w:rsidTr="003F0021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3F0021" w:rsidRDefault="003F0021" w:rsidP="004C59B9">
            <w:pPr>
              <w:pStyle w:val="a7"/>
              <w:rPr>
                <w:kern w:val="0"/>
                <w:sz w:val="18"/>
                <w:szCs w:val="18"/>
              </w:rPr>
            </w:pPr>
            <w:r w:rsidRPr="003F0021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3F0021" w:rsidRDefault="003F0021" w:rsidP="004C59B9">
            <w:pPr>
              <w:pStyle w:val="a7"/>
              <w:rPr>
                <w:kern w:val="0"/>
                <w:sz w:val="18"/>
                <w:szCs w:val="18"/>
              </w:rPr>
            </w:pPr>
            <w:r w:rsidRPr="003F0021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3F0021" w:rsidRDefault="003F0021" w:rsidP="004C59B9">
            <w:pPr>
              <w:pStyle w:val="a7"/>
              <w:rPr>
                <w:kern w:val="0"/>
                <w:sz w:val="18"/>
                <w:szCs w:val="18"/>
              </w:rPr>
            </w:pPr>
            <w:r w:rsidRPr="003F0021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3F0021" w:rsidRDefault="003F0021" w:rsidP="004C59B9">
            <w:pPr>
              <w:pStyle w:val="a7"/>
              <w:rPr>
                <w:kern w:val="0"/>
                <w:sz w:val="18"/>
                <w:szCs w:val="18"/>
              </w:rPr>
            </w:pPr>
            <w:r w:rsidRPr="003F0021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3F0021" w:rsidRDefault="003F0021" w:rsidP="004C59B9">
            <w:pPr>
              <w:pStyle w:val="a7"/>
              <w:rPr>
                <w:kern w:val="0"/>
                <w:sz w:val="18"/>
                <w:szCs w:val="18"/>
              </w:rPr>
            </w:pPr>
            <w:r w:rsidRPr="003F0021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021" w:rsidRPr="003F0021" w:rsidRDefault="003F0021" w:rsidP="004C59B9">
            <w:pPr>
              <w:pStyle w:val="a7"/>
              <w:rPr>
                <w:kern w:val="0"/>
                <w:sz w:val="18"/>
                <w:szCs w:val="18"/>
              </w:rPr>
            </w:pPr>
            <w:r w:rsidRPr="003F0021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021" w:rsidRPr="003F0021" w:rsidRDefault="003F0021" w:rsidP="004C59B9">
            <w:pPr>
              <w:pStyle w:val="a7"/>
              <w:rPr>
                <w:kern w:val="0"/>
                <w:sz w:val="18"/>
                <w:szCs w:val="18"/>
              </w:rPr>
            </w:pPr>
          </w:p>
        </w:tc>
      </w:tr>
    </w:tbl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部门负责人：</w:t>
      </w:r>
      <w:r w:rsidRPr="003F0021">
        <w:rPr>
          <w:kern w:val="0"/>
        </w:rPr>
        <w:t>     </w:t>
      </w:r>
      <w:r w:rsidRPr="003F0021">
        <w:rPr>
          <w:kern w:val="0"/>
        </w:rPr>
        <w:t xml:space="preserve"> </w:t>
      </w:r>
      <w:r w:rsidRPr="003F0021">
        <w:rPr>
          <w:kern w:val="0"/>
        </w:rPr>
        <w:t>              </w:t>
      </w:r>
      <w:r w:rsidRPr="003F0021">
        <w:rPr>
          <w:kern w:val="0"/>
        </w:rPr>
        <w:t>综合处负责人：</w:t>
      </w:r>
      <w:r w:rsidRPr="003F0021">
        <w:rPr>
          <w:kern w:val="0"/>
        </w:rPr>
        <w:t>      </w:t>
      </w:r>
      <w:r w:rsidRPr="003F0021">
        <w:rPr>
          <w:kern w:val="0"/>
        </w:rPr>
        <w:t xml:space="preserve"> 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 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 </w:t>
      </w:r>
    </w:p>
    <w:p w:rsidR="003F0021" w:rsidRPr="003F0021" w:rsidRDefault="003F0021" w:rsidP="004C59B9">
      <w:pPr>
        <w:pStyle w:val="a7"/>
        <w:rPr>
          <w:kern w:val="0"/>
        </w:rPr>
      </w:pPr>
      <w:r w:rsidRPr="003F0021">
        <w:rPr>
          <w:kern w:val="0"/>
        </w:rPr>
        <w:t>办主管领导意见：</w:t>
      </w:r>
      <w:r w:rsidRPr="003F0021">
        <w:rPr>
          <w:kern w:val="0"/>
        </w:rPr>
        <w:t>               </w:t>
      </w:r>
      <w:r w:rsidRPr="003F0021">
        <w:rPr>
          <w:kern w:val="0"/>
        </w:rPr>
        <w:t xml:space="preserve"> 办党组意见：</w:t>
      </w:r>
    </w:p>
    <w:p w:rsidR="005709A9" w:rsidRPr="003F0021" w:rsidRDefault="005709A9" w:rsidP="004C59B9">
      <w:pPr>
        <w:pStyle w:val="a7"/>
      </w:pPr>
    </w:p>
    <w:sectPr w:rsidR="005709A9" w:rsidRPr="003F0021" w:rsidSect="00C14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A05" w:rsidRDefault="00B97A05" w:rsidP="003F0021">
      <w:r>
        <w:separator/>
      </w:r>
    </w:p>
  </w:endnote>
  <w:endnote w:type="continuationSeparator" w:id="1">
    <w:p w:rsidR="00B97A05" w:rsidRDefault="00B97A05" w:rsidP="003F0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A05" w:rsidRDefault="00B97A05" w:rsidP="003F0021">
      <w:r>
        <w:separator/>
      </w:r>
    </w:p>
  </w:footnote>
  <w:footnote w:type="continuationSeparator" w:id="1">
    <w:p w:rsidR="00B97A05" w:rsidRDefault="00B97A05" w:rsidP="003F00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0021"/>
    <w:rsid w:val="003F0021"/>
    <w:rsid w:val="004C59B9"/>
    <w:rsid w:val="005709A9"/>
    <w:rsid w:val="006E54E9"/>
    <w:rsid w:val="008D5F5D"/>
    <w:rsid w:val="00AF5640"/>
    <w:rsid w:val="00B97A05"/>
    <w:rsid w:val="00C1424F"/>
    <w:rsid w:val="00CA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B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C59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0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00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0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002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C59B9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4C59B9"/>
    <w:pPr>
      <w:ind w:firstLineChars="200" w:firstLine="420"/>
    </w:pPr>
  </w:style>
  <w:style w:type="paragraph" w:customStyle="1" w:styleId="a6">
    <w:name w:val="函 标题"/>
    <w:basedOn w:val="a"/>
    <w:link w:val="Char1"/>
    <w:qFormat/>
    <w:rsid w:val="004C59B9"/>
    <w:pPr>
      <w:tabs>
        <w:tab w:val="left" w:pos="7020"/>
      </w:tabs>
      <w:spacing w:line="60" w:lineRule="auto"/>
      <w:ind w:rightChars="33" w:right="69"/>
      <w:jc w:val="center"/>
    </w:pPr>
    <w:rPr>
      <w:b/>
      <w:bCs/>
      <w:kern w:val="44"/>
      <w:sz w:val="44"/>
      <w:szCs w:val="44"/>
    </w:rPr>
  </w:style>
  <w:style w:type="character" w:customStyle="1" w:styleId="Char1">
    <w:name w:val="函 标题 Char"/>
    <w:basedOn w:val="a0"/>
    <w:link w:val="a6"/>
    <w:rsid w:val="004C59B9"/>
    <w:rPr>
      <w:b/>
      <w:bCs/>
      <w:kern w:val="44"/>
      <w:sz w:val="44"/>
      <w:szCs w:val="44"/>
    </w:rPr>
  </w:style>
  <w:style w:type="paragraph" w:customStyle="1" w:styleId="a7">
    <w:name w:val="函 正文"/>
    <w:basedOn w:val="a"/>
    <w:link w:val="Char2"/>
    <w:qFormat/>
    <w:rsid w:val="004C59B9"/>
    <w:pPr>
      <w:spacing w:line="560" w:lineRule="exact"/>
    </w:pPr>
    <w:rPr>
      <w:rFonts w:ascii="仿宋_GB2312" w:eastAsia="仿宋_GB2312"/>
      <w:sz w:val="32"/>
      <w:szCs w:val="24"/>
    </w:rPr>
  </w:style>
  <w:style w:type="character" w:customStyle="1" w:styleId="Char2">
    <w:name w:val="函 正文 Char"/>
    <w:basedOn w:val="a0"/>
    <w:link w:val="a7"/>
    <w:rsid w:val="004C59B9"/>
    <w:rPr>
      <w:rFonts w:ascii="仿宋_GB2312" w:eastAsia="仿宋_GB2312"/>
      <w:sz w:val="32"/>
      <w:szCs w:val="24"/>
    </w:rPr>
  </w:style>
  <w:style w:type="paragraph" w:customStyle="1" w:styleId="a8">
    <w:name w:val="函 一级标题"/>
    <w:basedOn w:val="a7"/>
    <w:link w:val="Char3"/>
    <w:qFormat/>
    <w:rsid w:val="004C59B9"/>
    <w:pPr>
      <w:ind w:firstLineChars="265" w:firstLine="848"/>
    </w:pPr>
    <w:rPr>
      <w:rFonts w:ascii="黑体" w:eastAsia="黑体"/>
      <w:color w:val="000000"/>
      <w:kern w:val="0"/>
      <w:szCs w:val="32"/>
    </w:rPr>
  </w:style>
  <w:style w:type="character" w:customStyle="1" w:styleId="Char3">
    <w:name w:val="函 一级标题 Char"/>
    <w:basedOn w:val="Char2"/>
    <w:link w:val="a8"/>
    <w:rsid w:val="004C59B9"/>
    <w:rPr>
      <w:rFonts w:ascii="黑体" w:eastAsia="黑体"/>
      <w:color w:val="000000"/>
      <w:kern w:val="0"/>
      <w:szCs w:val="32"/>
    </w:rPr>
  </w:style>
  <w:style w:type="paragraph" w:customStyle="1" w:styleId="a9">
    <w:name w:val="函 二级标题"/>
    <w:basedOn w:val="a"/>
    <w:link w:val="Char4"/>
    <w:qFormat/>
    <w:rsid w:val="004C59B9"/>
    <w:pPr>
      <w:spacing w:line="560" w:lineRule="exact"/>
      <w:jc w:val="center"/>
    </w:pPr>
    <w:rPr>
      <w:rFonts w:ascii="楷体_GB2312" w:eastAsia="楷体_GB2312"/>
      <w:sz w:val="32"/>
      <w:szCs w:val="32"/>
    </w:rPr>
  </w:style>
  <w:style w:type="character" w:customStyle="1" w:styleId="Char4">
    <w:name w:val="函 二级标题 Char"/>
    <w:basedOn w:val="a0"/>
    <w:link w:val="a9"/>
    <w:rsid w:val="004C59B9"/>
    <w:rPr>
      <w:rFonts w:ascii="楷体_GB2312" w:eastAsia="楷体_GB2312"/>
      <w:sz w:val="32"/>
      <w:szCs w:val="32"/>
    </w:rPr>
  </w:style>
  <w:style w:type="paragraph" w:customStyle="1" w:styleId="aa">
    <w:name w:val="函 三级标题"/>
    <w:basedOn w:val="a9"/>
    <w:link w:val="Char5"/>
    <w:qFormat/>
    <w:rsid w:val="004C59B9"/>
    <w:rPr>
      <w:rFonts w:ascii="仿宋_GB2312" w:eastAsia="仿宋_GB2312"/>
      <w:b/>
    </w:rPr>
  </w:style>
  <w:style w:type="character" w:customStyle="1" w:styleId="Char5">
    <w:name w:val="函 三级标题 Char"/>
    <w:basedOn w:val="Char4"/>
    <w:link w:val="aa"/>
    <w:rsid w:val="004C59B9"/>
    <w:rPr>
      <w:rFonts w:ascii="仿宋_GB2312" w:eastAsia="仿宋_GB2312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9" w:color="80AABD"/>
                    <w:bottom w:val="single" w:sz="6" w:space="23" w:color="80AABD"/>
                    <w:right w:val="single" w:sz="6" w:space="19" w:color="80AABD"/>
                  </w:divBdr>
                  <w:divsChild>
                    <w:div w:id="20946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9" w:color="80AABD"/>
                    <w:bottom w:val="single" w:sz="6" w:space="23" w:color="80AABD"/>
                    <w:right w:val="single" w:sz="6" w:space="19" w:color="80AABD"/>
                  </w:divBdr>
                  <w:divsChild>
                    <w:div w:id="19278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9" w:color="80AABD"/>
                    <w:bottom w:val="single" w:sz="6" w:space="23" w:color="80AABD"/>
                    <w:right w:val="single" w:sz="6" w:space="19" w:color="80AABD"/>
                  </w:divBdr>
                  <w:divsChild>
                    <w:div w:id="6965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216</Words>
  <Characters>1233</Characters>
  <Application>Microsoft Office Word</Application>
  <DocSecurity>0</DocSecurity>
  <Lines>10</Lines>
  <Paragraphs>2</Paragraphs>
  <ScaleCrop>false</ScaleCrop>
  <Company>Microsoft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7</cp:revision>
  <dcterms:created xsi:type="dcterms:W3CDTF">2012-09-04T09:09:00Z</dcterms:created>
  <dcterms:modified xsi:type="dcterms:W3CDTF">2012-09-04T09:20:00Z</dcterms:modified>
</cp:coreProperties>
</file>